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7" w:rsidRPr="006821B7" w:rsidRDefault="0086692B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УТВЕРЖДАЮ </w:t>
      </w:r>
      <w:r w:rsid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</w:p>
    <w:p w:rsidR="006821B7" w:rsidRDefault="0086692B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Председатель</w:t>
      </w:r>
      <w:r w:rsid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</w:t>
      </w:r>
    </w:p>
    <w:p w:rsidR="006821B7" w:rsidRDefault="001162EE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м</w:t>
      </w:r>
      <w:r w:rsid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уни</w:t>
      </w: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ципального района     </w:t>
      </w:r>
    </w:p>
    <w:p w:rsidR="001162EE" w:rsidRDefault="001162EE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от «</w:t>
      </w:r>
      <w:r w:rsidR="0050439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»</w:t>
      </w:r>
      <w:r w:rsidR="0050439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="0050439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сентября  </w:t>
      </w: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2013 г.</w:t>
      </w:r>
    </w:p>
    <w:p w:rsidR="001162EE" w:rsidRDefault="001162EE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_____________ Р.А.Щепелина</w:t>
      </w:r>
    </w:p>
    <w:p w:rsidR="001162EE" w:rsidRDefault="001162EE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A1798A" w:rsidRDefault="00A1798A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A1798A" w:rsidRDefault="00A1798A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bookmarkStart w:id="0" w:name="_GoBack"/>
      <w:bookmarkEnd w:id="0"/>
    </w:p>
    <w:p w:rsidR="00A1798A" w:rsidRDefault="00A1798A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A1798A" w:rsidRDefault="00A1798A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A1798A" w:rsidRDefault="00A1798A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A1798A" w:rsidRDefault="00A1798A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1162EE">
      <w:pPr>
        <w:spacing w:after="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A1798A" w:rsidRDefault="001162EE" w:rsidP="001162E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</w:pPr>
      <w:r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 xml:space="preserve">КОНТРОЛЬНО – СЧЕТНАЯ ПАЛАТА </w:t>
      </w:r>
      <w:proofErr w:type="gramStart"/>
      <w:r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>МУНИЦИПАЛЬНОГО</w:t>
      </w:r>
      <w:proofErr w:type="gramEnd"/>
      <w:r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 xml:space="preserve"> </w:t>
      </w:r>
    </w:p>
    <w:p w:rsidR="001162EE" w:rsidRPr="00C33FB7" w:rsidRDefault="001162EE" w:rsidP="001162E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</w:pPr>
      <w:r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>ОБРАЗОВАНИЯ СЛЮДЯНСКИЙ РАЙОН</w:t>
      </w:r>
    </w:p>
    <w:p w:rsidR="00A1798A" w:rsidRPr="00A1798A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40"/>
          <w:szCs w:val="40"/>
          <w:lang w:eastAsia="ru-RU"/>
        </w:rPr>
      </w:pPr>
      <w:r w:rsidRPr="00A1798A">
        <w:rPr>
          <w:rFonts w:ascii="Times New Roman" w:eastAsia="Times New Roman" w:hAnsi="Times New Roman" w:cs="Times New Roman"/>
          <w:b/>
          <w:bCs/>
          <w:color w:val="686467"/>
          <w:sz w:val="40"/>
          <w:szCs w:val="40"/>
          <w:lang w:eastAsia="ru-RU"/>
        </w:rPr>
        <w:t>СТАНДАРТ</w:t>
      </w:r>
    </w:p>
    <w:p w:rsidR="006821B7" w:rsidRPr="00A1798A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</w:pPr>
      <w:r w:rsidRPr="00A1798A">
        <w:rPr>
          <w:rFonts w:ascii="Times New Roman" w:eastAsia="Times New Roman" w:hAnsi="Times New Roman" w:cs="Times New Roman"/>
          <w:b/>
          <w:bCs/>
          <w:color w:val="686467"/>
          <w:sz w:val="40"/>
          <w:szCs w:val="40"/>
          <w:lang w:eastAsia="ru-RU"/>
        </w:rPr>
        <w:t xml:space="preserve"> ВНЕШНЕГО МУНИЦИПАЛЬНОГО ФИНАНСОВОГО КОНТРОЛЯ</w:t>
      </w:r>
    </w:p>
    <w:p w:rsidR="006821B7" w:rsidRPr="00A1798A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40"/>
          <w:szCs w:val="40"/>
          <w:lang w:eastAsia="ru-RU"/>
        </w:rPr>
      </w:pPr>
      <w:r w:rsidRPr="00A1798A">
        <w:rPr>
          <w:rFonts w:ascii="Times New Roman" w:eastAsia="Times New Roman" w:hAnsi="Times New Roman" w:cs="Times New Roman"/>
          <w:b/>
          <w:bCs/>
          <w:color w:val="686467"/>
          <w:sz w:val="40"/>
          <w:szCs w:val="40"/>
          <w:lang w:eastAsia="ru-RU"/>
        </w:rPr>
        <w:t xml:space="preserve"> </w:t>
      </w:r>
      <w:r w:rsidR="0086692B" w:rsidRPr="00A1798A">
        <w:rPr>
          <w:rFonts w:ascii="Times New Roman" w:eastAsia="Times New Roman" w:hAnsi="Times New Roman" w:cs="Times New Roman"/>
          <w:b/>
          <w:bCs/>
          <w:color w:val="686467"/>
          <w:sz w:val="40"/>
          <w:szCs w:val="40"/>
          <w:lang w:eastAsia="ru-RU"/>
        </w:rPr>
        <w:t>СФМФК 5/2013</w:t>
      </w:r>
    </w:p>
    <w:p w:rsidR="00A1798A" w:rsidRDefault="00A1798A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20"/>
          <w:szCs w:val="20"/>
          <w:lang w:eastAsia="ru-RU"/>
        </w:rPr>
      </w:pPr>
    </w:p>
    <w:p w:rsidR="00A1798A" w:rsidRPr="00C33FB7" w:rsidRDefault="00A1798A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</w:pPr>
    </w:p>
    <w:p w:rsidR="00A1798A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</w:pPr>
      <w:r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>«</w:t>
      </w:r>
      <w:r w:rsidR="00C33FB7"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 xml:space="preserve">ПЛАНИРОВАНИЕ РАБОТЫ </w:t>
      </w:r>
    </w:p>
    <w:p w:rsidR="006821B7" w:rsidRPr="00A1798A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</w:pPr>
      <w:r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 xml:space="preserve"> </w:t>
      </w:r>
      <w:r w:rsidR="00C33FB7"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>КОНТРОЛЬНО - СЧЕТНОЙ  ПАЛАТЫ</w:t>
      </w:r>
      <w:r w:rsidR="00212C46"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 xml:space="preserve"> </w:t>
      </w:r>
      <w:r w:rsidR="00C33FB7"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>МУНИЦИПАЛЬНОГО ОБРАЗОВАНИЯ СЛЮДЯНСКИЙ РАЙОН</w:t>
      </w:r>
      <w:r w:rsidR="001162EE" w:rsidRPr="00A1798A">
        <w:rPr>
          <w:rFonts w:ascii="Times New Roman" w:eastAsia="Times New Roman" w:hAnsi="Times New Roman" w:cs="Times New Roman"/>
          <w:color w:val="686467"/>
          <w:sz w:val="40"/>
          <w:szCs w:val="40"/>
          <w:lang w:eastAsia="ru-RU"/>
        </w:rPr>
        <w:t>»</w:t>
      </w: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</w:p>
    <w:p w:rsidR="001162EE" w:rsidRPr="006821B7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                          </w:t>
      </w:r>
    </w:p>
    <w:p w:rsidR="006821B7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</w:pPr>
      <w:r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 xml:space="preserve">СЛЮДЯНКА </w:t>
      </w:r>
      <w:r w:rsidR="00C33FB7"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>2013</w:t>
      </w:r>
      <w:r w:rsidR="006821B7" w:rsidRPr="00C33FB7"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  <w:t xml:space="preserve"> год</w:t>
      </w:r>
    </w:p>
    <w:p w:rsidR="00C33FB7" w:rsidRPr="00C33FB7" w:rsidRDefault="00C33F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20"/>
          <w:szCs w:val="20"/>
          <w:lang w:eastAsia="ru-RU"/>
        </w:rPr>
      </w:pPr>
    </w:p>
    <w:p w:rsidR="006821B7" w:rsidRPr="006821B7" w:rsidRDefault="006821B7" w:rsidP="006821B7">
      <w:pPr>
        <w:spacing w:before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lastRenderedPageBreak/>
        <w:t>Содержание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395"/>
        <w:gridCol w:w="6297"/>
        <w:gridCol w:w="395"/>
        <w:gridCol w:w="955"/>
        <w:gridCol w:w="395"/>
      </w:tblGrid>
      <w:tr w:rsidR="006821B7" w:rsidRPr="006821B7" w:rsidTr="00A17463">
        <w:trPr>
          <w:jc w:val="center"/>
        </w:trPr>
        <w:tc>
          <w:tcPr>
            <w:tcW w:w="14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№</w:t>
            </w:r>
          </w:p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страница</w:t>
            </w:r>
          </w:p>
        </w:tc>
      </w:tr>
      <w:tr w:rsidR="006821B7" w:rsidRPr="006821B7" w:rsidTr="00A17463">
        <w:trPr>
          <w:gridAfter w:val="1"/>
          <w:wAfter w:w="395" w:type="dxa"/>
          <w:jc w:val="center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Общие положения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3</w:t>
            </w:r>
          </w:p>
        </w:tc>
      </w:tr>
      <w:tr w:rsidR="006821B7" w:rsidRPr="006821B7" w:rsidTr="00A17463">
        <w:trPr>
          <w:gridAfter w:val="1"/>
          <w:wAfter w:w="395" w:type="dxa"/>
          <w:jc w:val="center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Цель, задачи и принципы планирования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3</w:t>
            </w:r>
          </w:p>
        </w:tc>
      </w:tr>
      <w:tr w:rsidR="006821B7" w:rsidRPr="006821B7" w:rsidTr="00A17463">
        <w:trPr>
          <w:gridAfter w:val="1"/>
          <w:wAfter w:w="395" w:type="dxa"/>
          <w:jc w:val="center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Порядок формирования и утверждения плана работы контрольно-счетной палаты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4</w:t>
            </w:r>
          </w:p>
        </w:tc>
      </w:tr>
      <w:tr w:rsidR="006821B7" w:rsidRPr="006821B7" w:rsidTr="00A17463">
        <w:trPr>
          <w:gridAfter w:val="1"/>
          <w:wAfter w:w="395" w:type="dxa"/>
          <w:jc w:val="center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Форма, структура и содержание плана работы </w:t>
            </w:r>
            <w:proofErr w:type="spellStart"/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контрольн</w:t>
            </w:r>
            <w:r w:rsidR="00A17463"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о</w:t>
            </w:r>
            <w:proofErr w:type="spellEnd"/>
            <w:r w:rsidR="00A17463"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 -</w:t>
            </w: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 счетной палаты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6</w:t>
            </w:r>
          </w:p>
        </w:tc>
      </w:tr>
      <w:tr w:rsidR="006821B7" w:rsidRPr="006821B7" w:rsidTr="00A17463">
        <w:trPr>
          <w:gridAfter w:val="1"/>
          <w:wAfter w:w="395" w:type="dxa"/>
          <w:jc w:val="center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A17463" w:rsidP="00C33FB7">
            <w:pPr>
              <w:spacing w:before="225" w:after="225" w:line="240" w:lineRule="auto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Корректировка плана работы контрольно-счетной палаты и контроль за</w:t>
            </w:r>
            <w:r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 его </w:t>
            </w: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выполнением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7</w:t>
            </w:r>
          </w:p>
        </w:tc>
      </w:tr>
      <w:tr w:rsidR="006821B7" w:rsidRPr="006821B7" w:rsidTr="00A17463">
        <w:trPr>
          <w:gridAfter w:val="1"/>
          <w:wAfter w:w="395" w:type="dxa"/>
          <w:jc w:val="center"/>
        </w:trPr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Внеплановые проверки</w:t>
            </w:r>
            <w:r w:rsidR="001162EE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1B7" w:rsidRPr="006821B7" w:rsidRDefault="006821B7" w:rsidP="006821B7">
            <w:pPr>
              <w:spacing w:before="225" w:after="225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8</w:t>
            </w:r>
          </w:p>
        </w:tc>
      </w:tr>
    </w:tbl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1162EE" w:rsidRDefault="001162EE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A1798A" w:rsidRDefault="00A1798A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A1798A" w:rsidRDefault="00A1798A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</w:pPr>
    </w:p>
    <w:p w:rsidR="006821B7" w:rsidRPr="006821B7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lastRenderedPageBreak/>
        <w:t>1. Общие положения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1.1. Стандарт внешнего муниципального финансового контроля контрольно-счетной палаты муниципального образования </w:t>
      </w:r>
      <w:r w:rsidR="001162E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Слюдянский район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(далее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="001162E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)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СФМФК – 05</w:t>
      </w:r>
      <w:r w:rsidR="002B03F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«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Планирование работы контрольно-счетной палаты муниципального образования </w:t>
      </w:r>
      <w:r w:rsidR="002B03F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Слюдянский район»,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(далее -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Стандарт)</w:t>
      </w:r>
      <w:r w:rsidR="002B03F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разработан на основании ст.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11</w:t>
      </w:r>
      <w:r w:rsidR="002B03F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, 12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Закона Российской Федерации от 07.02.2011 № 6-</w:t>
      </w:r>
      <w:r w:rsidR="002B03F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ФЗ «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2B03F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ции и муниципальных образований»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 статьи 11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Положения о контрольно-счетной палате муниципального образования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Слюдянский район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, утвержденного Решением Думы 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муниципального образования Слюдянский район от 29.02.2012 № 6 – 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val="en-US" w:eastAsia="ru-RU"/>
        </w:rPr>
        <w:t>V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–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рд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(далее – районная Дума)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 положений Стандарта внешнего государственного финансового контроля Счетной палаты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Российской Федерации СФК 4005 «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Порядок планирования работы Счет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ной палаты Российской Федерации»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</w:p>
    <w:p w:rsidR="006821B7" w:rsidRPr="006821B7" w:rsidRDefault="006821B7" w:rsidP="006821B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1.2. Целью настоящего </w:t>
      </w:r>
      <w:r w:rsidR="00A17463"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Cтандарта</w:t>
      </w:r>
      <w:r w:rsidR="00A1746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является установление общих принципов, правил и процедур планирования работы 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КСП муниципального района (далее -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планирования).</w:t>
      </w:r>
    </w:p>
    <w:p w:rsidR="006821B7" w:rsidRPr="006821B7" w:rsidRDefault="006821B7" w:rsidP="006821B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1.3. Задачами настоящего Cтандарта являются:</w:t>
      </w:r>
    </w:p>
    <w:p w:rsidR="006821B7" w:rsidRPr="006821B7" w:rsidRDefault="006821B7" w:rsidP="006821B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определение целей, задач и принципов планирования;</w:t>
      </w:r>
    </w:p>
    <w:p w:rsidR="006821B7" w:rsidRPr="006821B7" w:rsidRDefault="006821B7" w:rsidP="006821B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установление порядка формирования и утверждения плана работы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района;</w:t>
      </w:r>
    </w:p>
    <w:p w:rsidR="006821B7" w:rsidRPr="006821B7" w:rsidRDefault="006821B7" w:rsidP="006821B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установление требований к форме, структуре и содержанию плана работы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района;</w:t>
      </w:r>
    </w:p>
    <w:p w:rsidR="006821B7" w:rsidRPr="006821B7" w:rsidRDefault="006821B7" w:rsidP="006821B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установление порядка корректировки и контроля исполнения плана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работы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>2. Цель,</w:t>
      </w:r>
      <w:r w:rsidR="00A50C9D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 задачи и принципы планирования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2.1. 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строит свою работу на основе годовых планов, формируемых исходя из необходимости обеспечения всестороннего системного контроля за исполнением бюджета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муниципального образ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ования Слюдянский район (далее -</w:t>
      </w:r>
      <w:r w:rsidR="00BF51F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районный бюджет)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2.2. Планирование осуществляется в целях обеспечения эффективной организации и проведения внешнего муниципального финансового контроля специалистами контрольно-счетной палаты, надлежащего выполнения требований Бюджетного кодекса Российской Ф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едерации, Федерального закона «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ции и муниципальных образований»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, Положения о контрольно-счетной палате муниципального образования 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Слюдянский район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и Положения о бюджетном процессе в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МО Слюдянский район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 а также иными регламентирующими деятельность документами.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Планирование работы </w:t>
      </w:r>
      <w:r w:rsidR="00C33F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ведется по всем направлениям и видам деятельности контрольно-счетной палаты, определенным законодательством, на основе приоритетов, планов социально-экономического развития и бюджетной политики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МО Слюдянский район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на текущий период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и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муниципальных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программ.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Планирование осуществляется с учетом результатов контрольных и экспертно-аналитических мероприятий, поручений Думы, предложений и запросов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мэра МО Слю</w:t>
      </w:r>
      <w:r w:rsidR="002D22D0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дянский район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2.3. Задачами планирования являются: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- формирование плана работы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на очередной год;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рациональность распределения трудовых</w:t>
      </w:r>
      <w:r w:rsidRPr="00A1746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 финансовых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 материальных и иных ресурсов, направляемых на обеспечение функций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системная периодичность проведения мероприятий на объектах контроля;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- координация планов работы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 планами работы других органов финансового контроля.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2.4. Планирование работы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основывается на следующих принципах: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непрерывность планирования;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комплексность планирования;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- равномерность и сбалансированность распределения контрольных и экспертно-аналитических мероприятий по главным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администраторам доходов районного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бюджета, главным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распорядителям средств районного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бюджета, главным администраторам источников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финансирования дефицита районного</w:t>
      </w:r>
      <w:r w:rsidR="00A1746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бюджета.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>3. Порядок формирования и утверждения плана работы</w:t>
      </w:r>
      <w:r w:rsidR="0086692B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 КСП  муниципального района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3.1. Формирование плана работы </w:t>
      </w:r>
      <w:r w:rsidR="0086692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на очередной год включает осуществление следующих действий: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составление плана работы</w:t>
      </w:r>
      <w:r w:rsidR="002D22D0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lastRenderedPageBreak/>
        <w:t>- утверждение плана работы председателем</w:t>
      </w:r>
      <w:r w:rsidR="002D22D0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</w:p>
    <w:p w:rsidR="006821B7" w:rsidRPr="006821B7" w:rsidRDefault="006821B7" w:rsidP="006821B7">
      <w:pPr>
        <w:spacing w:before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3.2. Формирование плана работы </w:t>
      </w:r>
      <w:r w:rsidR="002D22D0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осуществляется председателем контрольно-счетной палаты в последовательности и сроки, указанные в следующей таблице:</w:t>
      </w:r>
    </w:p>
    <w:tbl>
      <w:tblPr>
        <w:tblStyle w:val="a3"/>
        <w:tblW w:w="5046" w:type="pct"/>
        <w:tblLook w:val="04A0" w:firstRow="1" w:lastRow="0" w:firstColumn="1" w:lastColumn="0" w:noHBand="0" w:noVBand="1"/>
      </w:tblPr>
      <w:tblGrid>
        <w:gridCol w:w="673"/>
        <w:gridCol w:w="3518"/>
        <w:gridCol w:w="1563"/>
        <w:gridCol w:w="1855"/>
        <w:gridCol w:w="2050"/>
      </w:tblGrid>
      <w:tr w:rsidR="006821B7" w:rsidRPr="006821B7" w:rsidTr="002D22D0">
        <w:tc>
          <w:tcPr>
            <w:tcW w:w="348" w:type="pct"/>
            <w:noWrap/>
            <w:hideMark/>
          </w:tcPr>
          <w:p w:rsidR="006821B7" w:rsidRPr="006821B7" w:rsidRDefault="006821B7" w:rsidP="006821B7">
            <w:pPr>
              <w:spacing w:before="225" w:after="225"/>
              <w:ind w:left="-851" w:firstLine="851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21" w:type="pct"/>
            <w:hideMark/>
          </w:tcPr>
          <w:p w:rsidR="006821B7" w:rsidRPr="006821B7" w:rsidRDefault="006821B7" w:rsidP="002D22D0">
            <w:pPr>
              <w:spacing w:before="225" w:after="225"/>
              <w:ind w:firstLine="178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Последовательность и этапы подготовки плана работы на очередной финансовый год</w:t>
            </w:r>
          </w:p>
        </w:tc>
        <w:tc>
          <w:tcPr>
            <w:tcW w:w="809" w:type="pct"/>
            <w:hideMark/>
          </w:tcPr>
          <w:p w:rsidR="006821B7" w:rsidRPr="006821B7" w:rsidRDefault="006821B7" w:rsidP="002D22D0">
            <w:pPr>
              <w:spacing w:before="225" w:after="225"/>
              <w:ind w:firstLine="6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960" w:type="pct"/>
            <w:hideMark/>
          </w:tcPr>
          <w:p w:rsidR="006821B7" w:rsidRPr="006821B7" w:rsidRDefault="006821B7" w:rsidP="002D22D0">
            <w:pPr>
              <w:spacing w:before="225" w:after="225"/>
              <w:ind w:left="-32" w:firstLine="23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1061" w:type="pct"/>
            <w:hideMark/>
          </w:tcPr>
          <w:p w:rsidR="006821B7" w:rsidRPr="006821B7" w:rsidRDefault="006821B7" w:rsidP="002D22D0">
            <w:pPr>
              <w:spacing w:before="225" w:after="225"/>
              <w:ind w:left="46" w:firstLine="14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Адресат направления документа</w:t>
            </w:r>
          </w:p>
        </w:tc>
      </w:tr>
      <w:tr w:rsidR="006821B7" w:rsidRPr="006821B7" w:rsidTr="002D22D0">
        <w:tc>
          <w:tcPr>
            <w:tcW w:w="348" w:type="pct"/>
            <w:hideMark/>
          </w:tcPr>
          <w:p w:rsidR="006821B7" w:rsidRPr="006821B7" w:rsidRDefault="006821B7" w:rsidP="006821B7">
            <w:pPr>
              <w:spacing w:before="225" w:after="225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21" w:type="pct"/>
            <w:hideMark/>
          </w:tcPr>
          <w:p w:rsidR="006821B7" w:rsidRPr="006821B7" w:rsidRDefault="006821B7" w:rsidP="002D22D0">
            <w:pPr>
              <w:spacing w:before="225" w:after="225"/>
              <w:ind w:firstLine="178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Формирование плана работы </w:t>
            </w:r>
            <w:r w:rsidR="002D22D0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КСП муниципального района</w:t>
            </w:r>
          </w:p>
        </w:tc>
        <w:tc>
          <w:tcPr>
            <w:tcW w:w="809" w:type="pct"/>
            <w:hideMark/>
          </w:tcPr>
          <w:p w:rsidR="006821B7" w:rsidRPr="006821B7" w:rsidRDefault="002D22D0" w:rsidP="002D22D0">
            <w:pPr>
              <w:spacing w:before="225" w:after="225"/>
              <w:ind w:firstLine="6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до 15</w:t>
            </w:r>
            <w:r w:rsidR="006821B7"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 декабря</w:t>
            </w:r>
          </w:p>
        </w:tc>
        <w:tc>
          <w:tcPr>
            <w:tcW w:w="960" w:type="pct"/>
            <w:hideMark/>
          </w:tcPr>
          <w:p w:rsidR="006821B7" w:rsidRPr="006821B7" w:rsidRDefault="006821B7" w:rsidP="002D22D0">
            <w:pPr>
              <w:spacing w:before="225" w:after="225"/>
              <w:ind w:left="-32" w:firstLine="23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председатель </w:t>
            </w:r>
            <w:r w:rsidR="002D22D0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КСП</w:t>
            </w:r>
          </w:p>
        </w:tc>
        <w:tc>
          <w:tcPr>
            <w:tcW w:w="1061" w:type="pct"/>
            <w:hideMark/>
          </w:tcPr>
          <w:p w:rsidR="006821B7" w:rsidRPr="006821B7" w:rsidRDefault="006821B7" w:rsidP="002D22D0">
            <w:pPr>
              <w:spacing w:before="225" w:after="225"/>
              <w:ind w:left="46" w:firstLine="14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_</w:t>
            </w:r>
          </w:p>
        </w:tc>
      </w:tr>
      <w:tr w:rsidR="006821B7" w:rsidRPr="006821B7" w:rsidTr="002D22D0">
        <w:tc>
          <w:tcPr>
            <w:tcW w:w="348" w:type="pct"/>
            <w:hideMark/>
          </w:tcPr>
          <w:p w:rsidR="006821B7" w:rsidRPr="006821B7" w:rsidRDefault="006821B7" w:rsidP="006821B7">
            <w:pPr>
              <w:spacing w:before="225" w:after="225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21" w:type="pct"/>
            <w:hideMark/>
          </w:tcPr>
          <w:p w:rsidR="006821B7" w:rsidRPr="006821B7" w:rsidRDefault="006821B7" w:rsidP="002D22D0">
            <w:pPr>
              <w:spacing w:before="225" w:after="225"/>
              <w:ind w:firstLine="178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Утверждение плана работы контрольно-счетной палаты </w:t>
            </w:r>
            <w:r w:rsidR="002D22D0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МО Слюдянский район </w:t>
            </w: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на очередной год</w:t>
            </w:r>
          </w:p>
        </w:tc>
        <w:tc>
          <w:tcPr>
            <w:tcW w:w="809" w:type="pct"/>
            <w:hideMark/>
          </w:tcPr>
          <w:p w:rsidR="006821B7" w:rsidRPr="006821B7" w:rsidRDefault="006821B7" w:rsidP="002D22D0">
            <w:pPr>
              <w:spacing w:before="225" w:after="225"/>
              <w:ind w:firstLine="6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до 30 декабря</w:t>
            </w:r>
          </w:p>
        </w:tc>
        <w:tc>
          <w:tcPr>
            <w:tcW w:w="960" w:type="pct"/>
            <w:hideMark/>
          </w:tcPr>
          <w:p w:rsidR="006821B7" w:rsidRPr="006821B7" w:rsidRDefault="006821B7" w:rsidP="002D22D0">
            <w:pPr>
              <w:spacing w:before="225" w:after="225"/>
              <w:ind w:left="-32" w:firstLine="23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 xml:space="preserve">председатель </w:t>
            </w:r>
            <w:r w:rsidR="002D22D0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КСП</w:t>
            </w:r>
          </w:p>
        </w:tc>
        <w:tc>
          <w:tcPr>
            <w:tcW w:w="1061" w:type="pct"/>
            <w:hideMark/>
          </w:tcPr>
          <w:p w:rsidR="006821B7" w:rsidRPr="006821B7" w:rsidRDefault="006821B7" w:rsidP="002D22D0">
            <w:pPr>
              <w:spacing w:before="225" w:after="225"/>
              <w:ind w:left="46" w:firstLine="142"/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</w:pPr>
            <w:r w:rsidRPr="006821B7">
              <w:rPr>
                <w:rFonts w:ascii="Times New Roman" w:eastAsia="Times New Roman" w:hAnsi="Times New Roman" w:cs="Times New Roman"/>
                <w:color w:val="686467"/>
                <w:sz w:val="18"/>
                <w:szCs w:val="18"/>
                <w:lang w:eastAsia="ru-RU"/>
              </w:rPr>
              <w:t>_</w:t>
            </w:r>
          </w:p>
        </w:tc>
      </w:tr>
    </w:tbl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3.3. При необходимости планирования на очередной год контрольно-ревизионных, экспертно-аналитических или иных мероприятий, проводимых совместно со Счетной палатой Российской Федерации, Ассоциацией контрольно-счетных органов Российской Федерации, Контрольно-счетной палатой </w:t>
      </w:r>
      <w:r w:rsidR="00035F26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Иркутской области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или другими ведомствами, председатель контрольно-счетной палаты обязан согласовать (предварительно) с партнерами по реализации планируемого мероприятия наименование совместно проводимого мероприятия и сроки его проведения.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3.4. При согласовании тематики и сроков проведения контрольного, экспертно-аналитического или иного мероприятия совместно со Счетной палатой Российской Федерации, Ассоциацией контрольно-счетных органов Российской Федерации, Контрольно-счетной палатой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Иркутской области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или другим ведомством председатель контрольно-счетной палаты принимает решение о включении данного мероприятия в проект плана работы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на очередной год.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3.5. Планирование проведения различных контрольных мероприятий на одном и том же объекте (предприятии, организации, учреждении) в различные периоды времени в течение одного календарного года не допускается.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Данное положение не распространяется на органы исполнительной власти, предприятия, организации, учреждения, являющиеся главными а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дминистраторами средств районного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бюджета или источников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финансирования дефицита районного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бюджета, внешняя проверка бюджетной отчетности, которых, согласно требованиям Бюджетного кодекса Российской Федерации, проводится ежегодно.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3.6. При выборе объектов проведения контрольных мероприятий не допускается включение в проект плана работы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объектов, на которые не распространяются полномочия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в соответствии с Положением о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3.7. План работы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должен быть сформирован реально-выполнимым и создавать условия для качественного выполнения планируемых </w:t>
      </w:r>
      <w:r w:rsidR="00EE1FAE"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мероприятий,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в установленные сроки исходя из полного использования годового объема служебного времени каждого сотрудника контрольно-счетной палаты.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3.8. Утверждение плана работы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на очередно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й год производится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председателя контрольно-счетной палаты </w:t>
      </w:r>
      <w:r w:rsidR="00EE1FAE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МО Слюдянский район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не позднее 30 декабря года, предшествующего планируемому.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AD23FA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4. Форма, структура и содержание плана работы </w:t>
      </w:r>
      <w:r w:rsidR="00AD23FA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КСП </w:t>
      </w:r>
      <w:r w:rsidR="00A50C9D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муниципального района 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4.1. План работы </w:t>
      </w:r>
      <w:r w:rsidR="00AD23FA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формируется в виде таблицы, отражающей перечень планируемых мероприятий на год, с указанием сроков их исполнения и должностей сотрудников контрольно-счетной палаты, ответственных за выполнение намеченных мероприятий.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4.2. Структурно план работы </w:t>
      </w:r>
      <w:r w:rsidR="00AD23FA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состоит из планируемых мероприятий, которые расположены в хронологическом порядке по сроку исполнения. Каждое мероприятие имеет свой порядковый номер.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4.3. Наименования планируемых контрольных, экспертно-аналитических и иных мероприятий должны иметь четкую, однозначную формулировку, соответствующую функциям и задачам контрольно-счетной палаты. 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4.4. В случаях планирования проведения совместного (параллельного) со Счетной палатой Российской Федерации, Контрольно-счетной палатой </w:t>
      </w:r>
      <w:r w:rsidR="00AD23FA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Иркутской области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или другим ведомством контрольного, экспертно-аналитического или иного мероприятия в плане работы указывается наименование органа (организации, учреждения), совместно с которым планируется проведение совместного мероприятия.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lastRenderedPageBreak/>
        <w:t xml:space="preserve">4.5.В плане работы </w:t>
      </w:r>
      <w:r w:rsidR="00AD23FA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допускается общие наименование темы проверки и сроки выполнения планируемого мероприятия.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5. Корректировка плана работы </w:t>
      </w:r>
      <w:r w:rsidR="00A50C9D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>и контроль за его выполнением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5.1. Корректировка плана работы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осуществляется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председателем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контрольно-счетной палаты.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5.2. Корректировка плана работы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в обязательном порядке производится в случаях поступления (после утверждения плана работы) поручений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районной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Думы, предложений и запросов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мэра МО Слюдянский район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5.3. Предложения по корректировке плана работы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могут вноситься в план работы в иных случаях: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- внесения дополнений и изменений в законодательные и иные нормативные правовые акты Российской Федерации,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Иркутской области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МО Слюдянский район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- поступления в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соответствующих обращений Счетной палаты Российской Федерации, Контрольно</w:t>
      </w:r>
      <w:r w:rsidR="00E467F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</w:t>
      </w:r>
      <w:r w:rsidR="00E467F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счетной палаты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Иркутской области, прокуратуры</w:t>
      </w:r>
      <w:r w:rsidR="00E467F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Слюдянского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выявления в ходе подготовки или проведения контрольного или иного запланированного мероприятия существенных обстоятельств, требующих изменения наименования, места или сроков его проведения;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реорганизация, ликвидация, изменение организационно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правовой формы субъекта проверки или объектов мероприятия;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отвлечения сотрудников, участвующих в проведении запланированного мероприятия, на дополнительные мероприятия,</w:t>
      </w:r>
      <w:r w:rsidR="0087291A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включенные в план работы </w:t>
      </w:r>
      <w:r w:rsidR="0087291A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в течение текущего года на основании поручений, обращений и запросов, направленных в 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различными ведомствами в соо</w:t>
      </w:r>
      <w:r w:rsidR="00A50C9D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тветствии с федеральным, областным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и</w:t>
      </w:r>
      <w:r w:rsidR="00E467F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нормативно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</w:t>
      </w:r>
      <w:r w:rsidR="00E467F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правовыми актами местного самоуправления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возникновением проблем с формированием состава непосредственных исполнителей запланированных м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ероприятий вследствие организационных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мероприятий, продолжительной болезни, увольнения, внепланового отпуска сотрудников контрольно-счетной палаты, участвующих в проведении мероприятия и невозможности их замены другими сотрудниками.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5.4. Корректировка плана работы 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может осуществляться в виде: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изменения наименования мероприятия;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изменения сроков проведения мероприятий;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изменения состава сотрудников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, ответственных за исполнение мероприятия;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исключения мероприятия из плана;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- включения дополнительных мероприятий в план.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5.5. Контроль за выполнением утвержденного плана работы контрольно-счетной палаты осуществляется председателем контрольно-счетной палаты, а также инспекторами контрольно-счетной палаты.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5.6. Основной задачей контроля исполнения плана работы 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является обеспечение своевременного, полного и качественного выполнения мероприятий, включенных в план работы.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b/>
          <w:bCs/>
          <w:color w:val="686467"/>
          <w:sz w:val="18"/>
          <w:szCs w:val="18"/>
          <w:lang w:eastAsia="ru-RU"/>
        </w:rPr>
        <w:t>6. Внеплановые проверки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6.1. В случаях поступления в 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КСП муниципального района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обращений (запросов) 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районной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Думы, администрации муниципального образования </w:t>
      </w:r>
      <w:r w:rsidR="00FA6BDB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Слюдянский район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или правоохранительных органов, требующих незамедлительного рассмотрения, допускается проведение внеплановых контрольных и экспертно-аналитических мероприятий.</w:t>
      </w:r>
    </w:p>
    <w:p w:rsidR="006821B7" w:rsidRPr="006821B7" w:rsidRDefault="006821B7" w:rsidP="006821B7">
      <w:pPr>
        <w:spacing w:before="225" w:after="225" w:line="240" w:lineRule="auto"/>
        <w:ind w:left="-851" w:firstLine="851"/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</w:pP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6.3. Внеплановые проверки осуществляются исключительно по </w:t>
      </w:r>
      <w:r w:rsidR="00A1746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поручениям 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председателя</w:t>
      </w:r>
      <w:r w:rsidR="00A17463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 xml:space="preserve"> КСП муниципального района</w:t>
      </w:r>
      <w:r w:rsidRPr="006821B7">
        <w:rPr>
          <w:rFonts w:ascii="Times New Roman" w:eastAsia="Times New Roman" w:hAnsi="Times New Roman" w:cs="Times New Roman"/>
          <w:color w:val="686467"/>
          <w:sz w:val="18"/>
          <w:szCs w:val="18"/>
          <w:lang w:eastAsia="ru-RU"/>
        </w:rPr>
        <w:t>.</w:t>
      </w:r>
    </w:p>
    <w:p w:rsidR="00267D98" w:rsidRPr="006821B7" w:rsidRDefault="00504397" w:rsidP="006821B7">
      <w:pPr>
        <w:ind w:left="-851" w:firstLine="851"/>
        <w:rPr>
          <w:rFonts w:ascii="Times New Roman" w:hAnsi="Times New Roman" w:cs="Times New Roman"/>
        </w:rPr>
      </w:pPr>
    </w:p>
    <w:sectPr w:rsidR="00267D98" w:rsidRPr="0068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96"/>
    <w:rsid w:val="00035F26"/>
    <w:rsid w:val="001162EE"/>
    <w:rsid w:val="00212C46"/>
    <w:rsid w:val="00272F96"/>
    <w:rsid w:val="002B03FB"/>
    <w:rsid w:val="002D1313"/>
    <w:rsid w:val="002D22D0"/>
    <w:rsid w:val="002E538D"/>
    <w:rsid w:val="004B7029"/>
    <w:rsid w:val="00504397"/>
    <w:rsid w:val="006821B7"/>
    <w:rsid w:val="0086692B"/>
    <w:rsid w:val="0087291A"/>
    <w:rsid w:val="00961E2C"/>
    <w:rsid w:val="00A17463"/>
    <w:rsid w:val="00A1798A"/>
    <w:rsid w:val="00A50C9D"/>
    <w:rsid w:val="00AA400E"/>
    <w:rsid w:val="00AD23FA"/>
    <w:rsid w:val="00B221B3"/>
    <w:rsid w:val="00BF51F7"/>
    <w:rsid w:val="00C33FB7"/>
    <w:rsid w:val="00DE7B77"/>
    <w:rsid w:val="00E467F3"/>
    <w:rsid w:val="00E52C44"/>
    <w:rsid w:val="00EE1FAE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7407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77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20</cp:revision>
  <cp:lastPrinted>2013-10-04T05:21:00Z</cp:lastPrinted>
  <dcterms:created xsi:type="dcterms:W3CDTF">2013-09-27T06:29:00Z</dcterms:created>
  <dcterms:modified xsi:type="dcterms:W3CDTF">2013-10-04T05:30:00Z</dcterms:modified>
</cp:coreProperties>
</file>