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778A5">
        <w:rPr>
          <w:rFonts w:ascii="Times New Roman" w:hAnsi="Times New Roman" w:cs="Times New Roman"/>
          <w:b/>
          <w:sz w:val="24"/>
          <w:szCs w:val="24"/>
        </w:rPr>
        <w:t xml:space="preserve"> _____2015</w:t>
      </w:r>
      <w:r w:rsidRPr="003778A5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Pr="003778A5">
        <w:rPr>
          <w:rFonts w:ascii="Times New Roman" w:hAnsi="Times New Roman" w:cs="Times New Roman"/>
          <w:b/>
          <w:sz w:val="24"/>
          <w:szCs w:val="24"/>
        </w:rPr>
        <w:t>___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3778A5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3778A5">
        <w:rPr>
          <w:rFonts w:ascii="Times New Roman" w:hAnsi="Times New Roman" w:cs="Times New Roman"/>
          <w:sz w:val="24"/>
          <w:szCs w:val="24"/>
        </w:rPr>
        <w:t xml:space="preserve">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От 28.12.2013 года № 50</w:t>
      </w:r>
      <w:r w:rsidRPr="003778A5">
        <w:rPr>
          <w:rFonts w:ascii="Times New Roman" w:hAnsi="Times New Roman" w:cs="Times New Roman"/>
          <w:sz w:val="24"/>
          <w:szCs w:val="24"/>
        </w:rPr>
        <w:t xml:space="preserve">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</w:t>
      </w:r>
      <w:r w:rsidRPr="003778A5">
        <w:rPr>
          <w:rFonts w:ascii="Times New Roman" w:hAnsi="Times New Roman" w:cs="Times New Roman"/>
          <w:sz w:val="24"/>
          <w:szCs w:val="24"/>
        </w:rPr>
        <w:t xml:space="preserve">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В статье 50</w:t>
      </w:r>
      <w:r w:rsidRPr="003778A5">
        <w:rPr>
          <w:rFonts w:ascii="Times New Roman" w:hAnsi="Times New Roman" w:cs="Times New Roman"/>
          <w:sz w:val="24"/>
          <w:szCs w:val="24"/>
        </w:rPr>
        <w:t>.</w:t>
      </w:r>
      <w:r w:rsidRPr="003778A5">
        <w:rPr>
          <w:rFonts w:ascii="Times New Roman" w:hAnsi="Times New Roman" w:cs="Times New Roman"/>
          <w:sz w:val="24"/>
          <w:szCs w:val="24"/>
        </w:rPr>
        <w:t xml:space="preserve"> Ж-2 - Зоны застройки малоэтажными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Pr="003778A5">
        <w:rPr>
          <w:rFonts w:ascii="Times New Roman" w:hAnsi="Times New Roman" w:cs="Times New Roman"/>
          <w:sz w:val="24"/>
          <w:szCs w:val="24"/>
        </w:rPr>
        <w:t xml:space="preserve">пункт 2.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Pr="003778A5">
        <w:rPr>
          <w:rFonts w:ascii="Times New Roman" w:hAnsi="Times New Roman" w:cs="Times New Roman"/>
          <w:sz w:val="24"/>
          <w:szCs w:val="24"/>
        </w:rPr>
        <w:t>У</w:t>
      </w:r>
      <w:r w:rsidRPr="003778A5">
        <w:rPr>
          <w:rFonts w:ascii="Times New Roman" w:hAnsi="Times New Roman" w:cs="Times New Roman"/>
          <w:sz w:val="24"/>
          <w:szCs w:val="24"/>
        </w:rPr>
        <w:t xml:space="preserve">словно </w:t>
      </w:r>
      <w:r w:rsidRPr="003778A5">
        <w:rPr>
          <w:rFonts w:ascii="Times New Roman" w:hAnsi="Times New Roman" w:cs="Times New Roman"/>
          <w:sz w:val="24"/>
          <w:szCs w:val="24"/>
        </w:rPr>
        <w:t>разрешённые</w:t>
      </w:r>
      <w:r w:rsidRPr="003778A5">
        <w:rPr>
          <w:rFonts w:ascii="Times New Roman" w:hAnsi="Times New Roman" w:cs="Times New Roman"/>
          <w:sz w:val="24"/>
          <w:szCs w:val="24"/>
        </w:rPr>
        <w:t xml:space="preserve"> виды и параметры использования земельных участков и объектов капитального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C077F" w:rsidP="008C077F">
      <w:pPr>
        <w:jc w:val="right"/>
      </w:pPr>
      <w:r>
        <w:t>№______от______2015г.</w:t>
      </w:r>
    </w:p>
    <w:p w:rsidR="008C077F" w:rsidRDefault="008C077F" w:rsidP="008C077F">
      <w:pPr>
        <w:jc w:val="right"/>
      </w:pPr>
    </w:p>
    <w:p w:rsidR="008C7783" w:rsidRPr="008C7783" w:rsidRDefault="008C7783" w:rsidP="008C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8C7783" w:rsidRPr="008C7783" w:rsidRDefault="008C7783" w:rsidP="008C7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3119"/>
      </w:tblGrid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разрешённого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разрешённого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1.   Земельных участков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1.1. Земельные участки для размещения объектов индивидуального жилищного строительства.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– 0,06-0,15 га.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30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Коэффициент плотности застройки – 0,6.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Отступ застройки от красной линии – 3 метра.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границ участка должно быть не менее, </w:t>
            </w:r>
            <w:proofErr w:type="gram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 стены жилого дома – 3; 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 хозяйственных построек -1. 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расстояние до сарая для содержания скота и птицы в соответствии с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учётом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СанПиН 2.2.1./2.1.1.1200.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2.   Объекты капитального строительства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2.1.Одноквартирные жилые дома.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2.1.1. Одноквартирные жилые дома с приусадебным участком с нежилыми помещениями;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нежилыми помещениями;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2.1.2. Одноквартирные жилые дома c приусадебным участком;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2.2.Двухквартирные жилые дома.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2.2.1. Двухквартирные жилые дома с нежилыми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помещениями с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приквартирными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2.2.2. Двухквартирные жилые дома с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приквартирными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участками;</w:t>
            </w:r>
          </w:p>
          <w:p w:rsidR="008C7783" w:rsidRPr="008C7783" w:rsidRDefault="003778A5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П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ередвижные жилые дома.</w:t>
            </w:r>
          </w:p>
          <w:p w:rsidR="008C7783" w:rsidRPr="008C7783" w:rsidRDefault="003778A5" w:rsidP="0037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.Автофургоны.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показатели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основного жилого строения – 12 метров с возможным использованием мансардного этажа, как исключение: башни, шпили, флагштоки, но не более 1/3 высоты основного строения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Иные показатели: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строений должна быть не более 500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Примечание: Допускается блокировка жилых домов, а также хозяйственных построек на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смежных приусадебных земельных участках по взаимному согласию домовладельцев.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озеленённой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микрорайона (квартала) - не менее 7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Разведение декоративных  и плодовых деревьев, овощей, ягодных культур.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ограждений между земельными участками не более 2,0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устройство палисадника при условии его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просм</w:t>
            </w:r>
            <w:bookmarkStart w:id="0" w:name="_GoBack"/>
            <w:bookmarkEnd w:id="0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атриваемости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, высотой не более 1,2 м.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lastRenderedPageBreak/>
              <w:t xml:space="preserve">Новое строительство и реконструкцию осуществлять по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утверждённому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проекту планировки, проекту межевания территории, с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учётом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соблюдения противопожарных норм в соответствии с СП 42.13330.2011 «Градостроительство. Планировка и застройка городских и сельских поселений», СНиП 2.07.01-89* «Градостроительство.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lastRenderedPageBreak/>
              <w:t xml:space="preserve">Планировка и застройка городских и сельских поселений»,  СНиП 31-02-2001 «Дома жилые одноквартирные», 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 xml:space="preserve">СНиП 21-01-97* «Пожарная безопасность зданий и сооружений», СП 4.13130.2013 «Системы противопожарной защиты. Ограничение распространения пожара на объектах защиты. Требования к 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>объёмно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>-планировочным и конструктивным решениям»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, Федеральным законом от 22 июля 2008 г. N 123-ФЗ «Технический регламент о требованиях пожарной безопасности»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 xml:space="preserve"> и с другими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</w:p>
          <w:p w:rsidR="008C7783" w:rsidRPr="008C7783" w:rsidRDefault="008C7783" w:rsidP="008C7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землепользования в жилых зонах обязаны содержать придомовые территории в порядке и чистоте, сохранять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зеленые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насаждения, беречь объекты благоустройства.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8C7783" w:rsidRPr="008C7783" w:rsidTr="009C487C">
        <w:trPr>
          <w:trHeight w:val="63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социально-бытового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Встроенные в объекты основного вида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хранения индивидуального транспорта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- до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гаражей и открытых стоянок до знаний определяется в соответствии с таблицей 10 к «СП 42.13330.2011. Свод правил. Градостроительство. Планировка и застройка городских и сельских поселений.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Актуализированная редакция СНиП 2.07.01-89*», региональными и местными нормативами градостроительного проектирования.</w:t>
            </w: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административно-делового назначения.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здравоохранения.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соцобеспечения.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Этажность - до 2 этажа.</w:t>
            </w:r>
          </w:p>
          <w:p w:rsidR="008C7783" w:rsidRPr="008C7783" w:rsidRDefault="008C7783" w:rsidP="008C778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торгового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Встроенные в объекты основного вида использования.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077F" w:rsidRDefault="008C077F" w:rsidP="008C077F"/>
    <w:p w:rsidR="003778A5" w:rsidRDefault="003778A5" w:rsidP="008C077F"/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8C077F"/>
    <w:rsid w:val="008C7783"/>
    <w:rsid w:val="00ED06D1"/>
    <w:rsid w:val="00F06758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cp:lastPrinted>2015-04-23T08:09:00Z</cp:lastPrinted>
  <dcterms:created xsi:type="dcterms:W3CDTF">2015-04-23T06:11:00Z</dcterms:created>
  <dcterms:modified xsi:type="dcterms:W3CDTF">2015-04-23T08:10:00Z</dcterms:modified>
</cp:coreProperties>
</file>