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6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РОССИЙСКАЯ ФЕДЕРАЦИЯ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ИРКУТСКАЯ ОБЛАСТЬ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СЛЮДЯНСКИЙ РАЙОН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АДМИНИСТРАЦИЯ ПОРТБАЙКАЛЬСКОГО СЕЛЬСКОГО ПОСЕЛЕНИЯ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п. Байкал</w:t>
      </w:r>
    </w:p>
    <w:p w:rsid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25CDC" w:rsidRPr="00825CDC" w:rsidRDefault="00825CD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036C" w:rsidRPr="00825CDC" w:rsidRDefault="0048036C" w:rsidP="004803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CDC">
        <w:rPr>
          <w:rFonts w:cstheme="minorHAnsi"/>
          <w:b/>
          <w:sz w:val="24"/>
          <w:szCs w:val="24"/>
        </w:rPr>
        <w:t>ПОСТАНОВЛЕНИЕ</w:t>
      </w:r>
    </w:p>
    <w:p w:rsidR="0048036C" w:rsidRPr="00825CDC" w:rsidRDefault="0048036C" w:rsidP="0048036C">
      <w:pPr>
        <w:spacing w:after="0" w:line="240" w:lineRule="auto"/>
        <w:rPr>
          <w:rFonts w:cstheme="minorHAnsi"/>
          <w:sz w:val="24"/>
          <w:szCs w:val="24"/>
        </w:rPr>
      </w:pPr>
    </w:p>
    <w:p w:rsidR="003D2158" w:rsidRPr="00825CDC" w:rsidRDefault="003D2158" w:rsidP="003D2158">
      <w:pPr>
        <w:spacing w:after="0" w:line="240" w:lineRule="auto"/>
        <w:rPr>
          <w:rFonts w:cstheme="minorHAnsi"/>
          <w:sz w:val="24"/>
          <w:szCs w:val="24"/>
        </w:rPr>
      </w:pPr>
      <w:r w:rsidRPr="00825CDC">
        <w:rPr>
          <w:rFonts w:cstheme="minorHAnsi"/>
          <w:sz w:val="24"/>
          <w:szCs w:val="24"/>
        </w:rPr>
        <w:t>От «</w:t>
      </w:r>
      <w:r w:rsidR="00F42A8D">
        <w:rPr>
          <w:rFonts w:cstheme="minorHAnsi"/>
          <w:sz w:val="24"/>
          <w:szCs w:val="24"/>
        </w:rPr>
        <w:t>12</w:t>
      </w:r>
      <w:r w:rsidRPr="00825CDC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  <w:r w:rsidR="00F42A8D">
        <w:rPr>
          <w:rFonts w:cstheme="minorHAnsi"/>
          <w:sz w:val="24"/>
          <w:szCs w:val="24"/>
        </w:rPr>
        <w:t xml:space="preserve"> января </w:t>
      </w:r>
      <w:r>
        <w:rPr>
          <w:rFonts w:cstheme="minorHAnsi"/>
          <w:sz w:val="24"/>
          <w:szCs w:val="24"/>
        </w:rPr>
        <w:t>201</w:t>
      </w:r>
      <w:r w:rsidR="00F42A8D">
        <w:rPr>
          <w:rFonts w:cstheme="minorHAnsi"/>
          <w:sz w:val="24"/>
          <w:szCs w:val="24"/>
        </w:rPr>
        <w:t>7</w:t>
      </w:r>
      <w:r w:rsidRPr="00825CDC">
        <w:rPr>
          <w:rFonts w:cstheme="minorHAnsi"/>
          <w:sz w:val="24"/>
          <w:szCs w:val="24"/>
        </w:rPr>
        <w:t xml:space="preserve">г. </w:t>
      </w:r>
      <w:r w:rsidR="00F42A8D">
        <w:rPr>
          <w:rFonts w:cstheme="minorHAnsi"/>
          <w:sz w:val="24"/>
          <w:szCs w:val="24"/>
        </w:rPr>
        <w:t>№ 1</w:t>
      </w:r>
    </w:p>
    <w:p w:rsidR="002D76E7" w:rsidRPr="00825CDC" w:rsidRDefault="002D76E7" w:rsidP="0048036C">
      <w:pPr>
        <w:spacing w:after="0" w:line="240" w:lineRule="auto"/>
        <w:rPr>
          <w:rFonts w:cstheme="minorHAnsi"/>
          <w:sz w:val="24"/>
          <w:szCs w:val="24"/>
        </w:rPr>
      </w:pPr>
    </w:p>
    <w:p w:rsidR="0048036C" w:rsidRDefault="0060793D" w:rsidP="006079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 утверждении Положения об изменении</w:t>
      </w:r>
    </w:p>
    <w:p w:rsidR="0060793D" w:rsidRDefault="0060793D" w:rsidP="006079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видов разрешенного использования земельных</w:t>
      </w:r>
    </w:p>
    <w:p w:rsidR="0060793D" w:rsidRPr="00825CDC" w:rsidRDefault="0060793D" w:rsidP="006079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участков и объектов капитального строительства</w:t>
      </w:r>
    </w:p>
    <w:p w:rsidR="00D04A3C" w:rsidRPr="00825CDC" w:rsidRDefault="00D04A3C" w:rsidP="0048036C">
      <w:pPr>
        <w:spacing w:after="0" w:line="240" w:lineRule="auto"/>
        <w:rPr>
          <w:rFonts w:cstheme="minorHAnsi"/>
          <w:sz w:val="24"/>
          <w:szCs w:val="24"/>
        </w:rPr>
      </w:pPr>
    </w:p>
    <w:p w:rsidR="007C279D" w:rsidRDefault="007C279D" w:rsidP="003D215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rFonts w:cstheme="minorHAnsi"/>
          <w:sz w:val="24"/>
          <w:szCs w:val="24"/>
        </w:rPr>
        <w:t>Портбайкальского сельского</w:t>
      </w:r>
      <w:r w:rsidRPr="007C279D">
        <w:rPr>
          <w:rFonts w:cstheme="minorHAnsi"/>
          <w:sz w:val="24"/>
          <w:szCs w:val="24"/>
        </w:rPr>
        <w:t xml:space="preserve"> поселения, администрация </w:t>
      </w:r>
      <w:r>
        <w:rPr>
          <w:rFonts w:cstheme="minorHAnsi"/>
          <w:sz w:val="24"/>
          <w:szCs w:val="24"/>
        </w:rPr>
        <w:t>Портбайкальского сельского</w:t>
      </w:r>
      <w:r w:rsidRPr="007C279D">
        <w:rPr>
          <w:rFonts w:cstheme="minorHAnsi"/>
          <w:sz w:val="24"/>
          <w:szCs w:val="24"/>
        </w:rPr>
        <w:t xml:space="preserve"> поселения </w:t>
      </w:r>
    </w:p>
    <w:p w:rsidR="0048036C" w:rsidRDefault="0048036C" w:rsidP="002D76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036C" w:rsidRPr="00825CDC" w:rsidRDefault="0048036C" w:rsidP="0048036C">
      <w:pPr>
        <w:spacing w:after="0" w:line="240" w:lineRule="auto"/>
        <w:rPr>
          <w:rFonts w:cstheme="minorHAnsi"/>
          <w:sz w:val="24"/>
          <w:szCs w:val="24"/>
        </w:rPr>
      </w:pPr>
      <w:r w:rsidRPr="00825CDC">
        <w:rPr>
          <w:rFonts w:cstheme="minorHAnsi"/>
          <w:sz w:val="24"/>
          <w:szCs w:val="24"/>
        </w:rPr>
        <w:t>ПОСТАНОВЛЯ</w:t>
      </w:r>
      <w:r w:rsidR="00825CDC">
        <w:rPr>
          <w:rFonts w:cstheme="minorHAnsi"/>
          <w:sz w:val="24"/>
          <w:szCs w:val="24"/>
        </w:rPr>
        <w:t>ЕТ</w:t>
      </w:r>
      <w:r w:rsidRPr="00825CDC">
        <w:rPr>
          <w:rFonts w:cstheme="minorHAnsi"/>
          <w:sz w:val="24"/>
          <w:szCs w:val="24"/>
        </w:rPr>
        <w:t>:</w:t>
      </w:r>
    </w:p>
    <w:p w:rsidR="0048036C" w:rsidRPr="00825CDC" w:rsidRDefault="0048036C" w:rsidP="002D76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7FA2" w:rsidRDefault="0069680B" w:rsidP="003D21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 xml:space="preserve">Утвердить </w:t>
      </w:r>
      <w:r w:rsidR="007C279D">
        <w:rPr>
          <w:rFonts w:cstheme="minorHAnsi"/>
          <w:sz w:val="24"/>
          <w:szCs w:val="24"/>
        </w:rPr>
        <w:t>Положение об изменении видов разрешенного использования земельных участков и объектов капитального строительства</w:t>
      </w:r>
      <w:r w:rsidRPr="007C279D">
        <w:rPr>
          <w:rFonts w:cstheme="minorHAnsi"/>
          <w:sz w:val="24"/>
          <w:szCs w:val="24"/>
        </w:rPr>
        <w:t>.</w:t>
      </w:r>
    </w:p>
    <w:p w:rsidR="003D2158" w:rsidRDefault="003D2158" w:rsidP="003D21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Отменить Постановление администрации Портбайкальского сельского поселения от 30.12.2016 № 172 «Об утверждении Положения об изменении видов разрешенного использования земельных участков и объектов капитального строительства»</w:t>
      </w:r>
    </w:p>
    <w:p w:rsidR="007C279D" w:rsidRDefault="007C279D" w:rsidP="003D21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7C279D" w:rsidRDefault="007C279D" w:rsidP="003D21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 xml:space="preserve">Настоящее </w:t>
      </w:r>
      <w:r>
        <w:rPr>
          <w:rFonts w:cstheme="minorHAnsi"/>
          <w:sz w:val="24"/>
          <w:szCs w:val="24"/>
        </w:rPr>
        <w:t>П</w:t>
      </w:r>
      <w:r w:rsidRPr="007C279D">
        <w:rPr>
          <w:rFonts w:cstheme="minorHAnsi"/>
          <w:sz w:val="24"/>
          <w:szCs w:val="24"/>
        </w:rPr>
        <w:t>остановление вступает в силу со дня его подписания.</w:t>
      </w:r>
    </w:p>
    <w:p w:rsidR="007C279D" w:rsidRDefault="007C279D" w:rsidP="003D215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Ответственность за исполнением настоящего Постановления оставляю за собой.</w:t>
      </w:r>
    </w:p>
    <w:p w:rsidR="007C279D" w:rsidRPr="003D2158" w:rsidRDefault="007C279D" w:rsidP="003D21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2158" w:rsidRDefault="003D2158" w:rsidP="007C279D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7FA2" w:rsidRPr="007C279D" w:rsidRDefault="0069680B" w:rsidP="007C279D">
      <w:pPr>
        <w:pStyle w:val="a3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C279D">
        <w:rPr>
          <w:rFonts w:cstheme="minorHAnsi"/>
          <w:sz w:val="24"/>
          <w:szCs w:val="24"/>
        </w:rPr>
        <w:t>Г</w:t>
      </w:r>
      <w:r w:rsidR="00417FA2" w:rsidRPr="007C279D">
        <w:rPr>
          <w:rFonts w:cstheme="minorHAnsi"/>
          <w:sz w:val="24"/>
          <w:szCs w:val="24"/>
        </w:rPr>
        <w:t>лав</w:t>
      </w:r>
      <w:r w:rsidR="00825CDC" w:rsidRPr="007C279D">
        <w:rPr>
          <w:rFonts w:cstheme="minorHAnsi"/>
          <w:sz w:val="24"/>
          <w:szCs w:val="24"/>
        </w:rPr>
        <w:t>а</w:t>
      </w:r>
      <w:r w:rsidR="00417FA2" w:rsidRPr="007C279D">
        <w:rPr>
          <w:rFonts w:cstheme="minorHAnsi"/>
          <w:sz w:val="24"/>
          <w:szCs w:val="24"/>
        </w:rPr>
        <w:t xml:space="preserve"> администрации</w:t>
      </w:r>
    </w:p>
    <w:p w:rsidR="00267DF2" w:rsidRPr="00825CDC" w:rsidRDefault="00417FA2" w:rsidP="00825CDC">
      <w:pPr>
        <w:spacing w:after="0" w:line="240" w:lineRule="auto"/>
        <w:rPr>
          <w:rFonts w:cstheme="minorHAnsi"/>
          <w:sz w:val="24"/>
          <w:szCs w:val="24"/>
        </w:rPr>
      </w:pPr>
      <w:r w:rsidRPr="00825CDC">
        <w:rPr>
          <w:rFonts w:cstheme="minorHAnsi"/>
          <w:sz w:val="24"/>
          <w:szCs w:val="24"/>
        </w:rPr>
        <w:t xml:space="preserve">Портбайкальского </w:t>
      </w:r>
      <w:r w:rsidR="0069680B" w:rsidRPr="00825CDC">
        <w:rPr>
          <w:rFonts w:cstheme="minorHAnsi"/>
          <w:sz w:val="24"/>
          <w:szCs w:val="24"/>
        </w:rPr>
        <w:t>МО</w:t>
      </w:r>
      <w:r w:rsidR="00825CDC">
        <w:rPr>
          <w:rFonts w:cstheme="minorHAnsi"/>
          <w:sz w:val="24"/>
          <w:szCs w:val="24"/>
        </w:rPr>
        <w:t>:</w:t>
      </w:r>
      <w:r w:rsidR="003D2158">
        <w:rPr>
          <w:rFonts w:cstheme="minorHAnsi"/>
          <w:sz w:val="24"/>
          <w:szCs w:val="24"/>
        </w:rPr>
        <w:t xml:space="preserve"> </w:t>
      </w:r>
      <w:r w:rsidRPr="00825CDC">
        <w:rPr>
          <w:rFonts w:cstheme="minorHAnsi"/>
          <w:sz w:val="24"/>
          <w:szCs w:val="24"/>
        </w:rPr>
        <w:t xml:space="preserve">                                                 </w:t>
      </w:r>
      <w:r w:rsidR="00D04A3C" w:rsidRPr="00825CDC">
        <w:rPr>
          <w:rFonts w:cstheme="minorHAnsi"/>
          <w:sz w:val="24"/>
          <w:szCs w:val="24"/>
        </w:rPr>
        <w:t xml:space="preserve">          </w:t>
      </w:r>
      <w:r w:rsidR="00825CDC">
        <w:rPr>
          <w:rFonts w:cstheme="minorHAnsi"/>
          <w:sz w:val="24"/>
          <w:szCs w:val="24"/>
        </w:rPr>
        <w:t xml:space="preserve">     </w:t>
      </w:r>
      <w:r w:rsidR="00D04A3C" w:rsidRPr="00825CDC">
        <w:rPr>
          <w:rFonts w:cstheme="minorHAnsi"/>
          <w:sz w:val="24"/>
          <w:szCs w:val="24"/>
        </w:rPr>
        <w:t xml:space="preserve">    </w:t>
      </w:r>
      <w:r w:rsidR="003D2158">
        <w:rPr>
          <w:rFonts w:cstheme="minorHAnsi"/>
          <w:sz w:val="24"/>
          <w:szCs w:val="24"/>
        </w:rPr>
        <w:t xml:space="preserve">   </w:t>
      </w:r>
      <w:r w:rsidR="00D04A3C" w:rsidRPr="00825CDC">
        <w:rPr>
          <w:rFonts w:cstheme="minorHAnsi"/>
          <w:sz w:val="24"/>
          <w:szCs w:val="24"/>
        </w:rPr>
        <w:t xml:space="preserve">     </w:t>
      </w:r>
      <w:r w:rsidR="003D2158">
        <w:rPr>
          <w:rFonts w:cstheme="minorHAnsi"/>
          <w:sz w:val="24"/>
          <w:szCs w:val="24"/>
        </w:rPr>
        <w:t xml:space="preserve">       </w:t>
      </w:r>
      <w:r w:rsidR="00D04A3C" w:rsidRPr="00825CDC">
        <w:rPr>
          <w:rFonts w:cstheme="minorHAnsi"/>
          <w:sz w:val="24"/>
          <w:szCs w:val="24"/>
        </w:rPr>
        <w:t xml:space="preserve">          </w:t>
      </w:r>
      <w:r w:rsidR="00825CDC">
        <w:rPr>
          <w:rFonts w:cstheme="minorHAnsi"/>
          <w:sz w:val="24"/>
          <w:szCs w:val="24"/>
        </w:rPr>
        <w:t>Н.И. Симакова</w:t>
      </w:r>
    </w:p>
    <w:p w:rsidR="00267DF2" w:rsidRPr="00825CDC" w:rsidRDefault="00267DF2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67DF2" w:rsidRPr="00825CDC" w:rsidRDefault="00267DF2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25CDC" w:rsidRDefault="00825CDC" w:rsidP="00267D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53B71" w:rsidRDefault="00853B71" w:rsidP="003D2158">
      <w:pPr>
        <w:rPr>
          <w:rFonts w:ascii="Times New Roman" w:hAnsi="Times New Roman"/>
          <w:sz w:val="24"/>
          <w:szCs w:val="24"/>
        </w:rPr>
      </w:pPr>
    </w:p>
    <w:p w:rsidR="007C279D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B71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7C279D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Портбайкальского муниципального</w:t>
      </w:r>
    </w:p>
    <w:p w:rsidR="007C279D" w:rsidRDefault="007C279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7C279D" w:rsidRDefault="00F42A8D" w:rsidP="007C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</w:t>
      </w:r>
      <w:r w:rsidR="003D21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2017 г. № 1</w:t>
      </w:r>
      <w:bookmarkStart w:id="0" w:name="_GoBack"/>
      <w:bookmarkEnd w:id="0"/>
    </w:p>
    <w:p w:rsidR="007C279D" w:rsidRDefault="007C279D" w:rsidP="007C27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150A" w:rsidRDefault="00853B71" w:rsidP="008C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923">
        <w:rPr>
          <w:rFonts w:ascii="Times New Roman" w:hAnsi="Times New Roman"/>
          <w:b/>
          <w:sz w:val="28"/>
          <w:szCs w:val="28"/>
        </w:rPr>
        <w:t>Положение</w:t>
      </w:r>
    </w:p>
    <w:p w:rsidR="00853B71" w:rsidRPr="00340923" w:rsidRDefault="00853B71" w:rsidP="008C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923">
        <w:rPr>
          <w:rFonts w:ascii="Times New Roman" w:hAnsi="Times New Roman"/>
          <w:b/>
          <w:sz w:val="28"/>
          <w:szCs w:val="28"/>
        </w:rPr>
        <w:t xml:space="preserve"> об изменении видов разрешенного использования земельных участков и объектов капитального строительства</w:t>
      </w:r>
    </w:p>
    <w:p w:rsidR="00853B71" w:rsidRDefault="00853B71" w:rsidP="008C15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b/>
          <w:sz w:val="24"/>
          <w:szCs w:val="24"/>
        </w:rPr>
        <w:t>1. Изменение видов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1. Для каждой из установленных территориальных зон </w:t>
      </w:r>
      <w:r w:rsidR="008C150A">
        <w:rPr>
          <w:rFonts w:ascii="Times New Roman" w:hAnsi="Times New Roman"/>
          <w:sz w:val="24"/>
          <w:szCs w:val="24"/>
        </w:rPr>
        <w:t>Портб</w:t>
      </w:r>
      <w:r>
        <w:rPr>
          <w:rFonts w:ascii="Times New Roman" w:hAnsi="Times New Roman"/>
          <w:sz w:val="24"/>
          <w:szCs w:val="24"/>
        </w:rPr>
        <w:t>айкальского</w:t>
      </w:r>
      <w:r w:rsidRPr="00232BC6">
        <w:rPr>
          <w:rFonts w:ascii="Times New Roman" w:hAnsi="Times New Roman"/>
          <w:sz w:val="24"/>
          <w:szCs w:val="24"/>
        </w:rPr>
        <w:t xml:space="preserve"> муниципального образования могут устанавливаться следующие виды разрешенного использования земельных участков и объектов капитального строительства: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основные виды разрешенного использования;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условно разрешенные виды использования;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 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53B71" w:rsidRDefault="00853B71" w:rsidP="00853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B71" w:rsidRDefault="005E3F59" w:rsidP="00853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3B71" w:rsidRPr="00232BC6">
        <w:rPr>
          <w:rFonts w:ascii="Times New Roman" w:hAnsi="Times New Roman"/>
          <w:sz w:val="24"/>
          <w:szCs w:val="24"/>
        </w:rPr>
        <w:t xml:space="preserve">.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планируемые правообладателем изменения объекта капитального строительства не связаны с изменением его объемно-планировочных параметров, снижением надежности и безопасности несущих конструкций и внешнего архитектурного облика, не приведут к нарушениям противопожарных и санитарных норм и правил.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lastRenderedPageBreak/>
        <w:t>4. В случ</w:t>
      </w:r>
      <w:r w:rsidR="005E3F59">
        <w:rPr>
          <w:rFonts w:ascii="Times New Roman" w:hAnsi="Times New Roman"/>
          <w:sz w:val="24"/>
          <w:szCs w:val="24"/>
        </w:rPr>
        <w:t>ае несоблюдения пункта 2 части 4</w:t>
      </w:r>
      <w:r w:rsidRPr="00232BC6">
        <w:rPr>
          <w:rFonts w:ascii="Times New Roman" w:hAnsi="Times New Roman"/>
          <w:sz w:val="24"/>
          <w:szCs w:val="24"/>
        </w:rPr>
        <w:t xml:space="preserve">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</w:t>
      </w:r>
      <w:r w:rsidR="00D9672B">
        <w:rPr>
          <w:rFonts w:ascii="Times New Roman" w:hAnsi="Times New Roman"/>
          <w:sz w:val="24"/>
          <w:szCs w:val="24"/>
        </w:rPr>
        <w:t>Портбайкальского</w:t>
      </w:r>
      <w:r w:rsidRPr="00232BC6">
        <w:rPr>
          <w:rFonts w:ascii="Times New Roman" w:hAnsi="Times New Roman"/>
          <w:sz w:val="24"/>
          <w:szCs w:val="24"/>
        </w:rPr>
        <w:t xml:space="preserve"> муниципального образования после утверждения градостроительного плана земельного участка и получения в установленном порядке разрешения на строительство.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5.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разделом 2 настоящего Положения.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6. Решения об изменении одного вида разрешенного использования земельных участков и объектов капитального строительства, находящихся на территории </w:t>
      </w:r>
      <w:r w:rsidR="008C150A">
        <w:rPr>
          <w:rFonts w:ascii="Times New Roman" w:hAnsi="Times New Roman"/>
          <w:sz w:val="24"/>
          <w:szCs w:val="24"/>
        </w:rPr>
        <w:t>Портб</w:t>
      </w:r>
      <w:r>
        <w:rPr>
          <w:rFonts w:ascii="Times New Roman" w:hAnsi="Times New Roman"/>
          <w:sz w:val="24"/>
          <w:szCs w:val="24"/>
        </w:rPr>
        <w:t>айкальск</w:t>
      </w:r>
      <w:r w:rsidRPr="00232BC6">
        <w:rPr>
          <w:rFonts w:ascii="Times New Roman" w:hAnsi="Times New Roman"/>
          <w:sz w:val="24"/>
          <w:szCs w:val="24"/>
        </w:rPr>
        <w:t>ого муниципального образования, расположенных на землях, на которые действие градостроительных регламентов не распространяется или для которых градостроительные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C6">
        <w:rPr>
          <w:rFonts w:ascii="Times New Roman" w:hAnsi="Times New Roman"/>
          <w:sz w:val="24"/>
          <w:szCs w:val="24"/>
        </w:rPr>
        <w:t xml:space="preserve">регламенты не устанавливаются, на другой вид такого использования принимаются в соответствии с федеральными законами.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b/>
          <w:sz w:val="24"/>
          <w:szCs w:val="24"/>
        </w:rPr>
        <w:t>2. Предоставление разрешения на условно разрешенный вид использования земельного участка и объекта капитального строительства</w:t>
      </w:r>
      <w:r w:rsidRPr="00232BC6">
        <w:rPr>
          <w:rFonts w:ascii="Times New Roman" w:hAnsi="Times New Roman"/>
          <w:sz w:val="24"/>
          <w:szCs w:val="24"/>
        </w:rPr>
        <w:t xml:space="preserve">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1. Предоставление разрешения на условно разрешенный вид использования земельного участка или объекта капитального строительства, находящихся на территории </w:t>
      </w:r>
      <w:r w:rsidR="008C150A">
        <w:rPr>
          <w:rFonts w:ascii="Times New Roman" w:hAnsi="Times New Roman"/>
          <w:sz w:val="24"/>
          <w:szCs w:val="24"/>
        </w:rPr>
        <w:t>Портб</w:t>
      </w:r>
      <w:r>
        <w:rPr>
          <w:rFonts w:ascii="Times New Roman" w:hAnsi="Times New Roman"/>
          <w:sz w:val="24"/>
          <w:szCs w:val="24"/>
        </w:rPr>
        <w:t>айкаль</w:t>
      </w:r>
      <w:r w:rsidRPr="00232BC6">
        <w:rPr>
          <w:rFonts w:ascii="Times New Roman" w:hAnsi="Times New Roman"/>
          <w:sz w:val="24"/>
          <w:szCs w:val="24"/>
        </w:rPr>
        <w:t xml:space="preserve">ского муниципального образования, осуществляется в порядке, установленном статьей 39 Градостроительного кодекса Российской Федерации с учетом проведения публичных слушаний.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порядке, после проведения публичных слушаний,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3. Специальные согласования могут проводиться: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на стадии формирования земельного участка из состава государственных, муниципальных земель для предоставления физическим, юридическим лицам для строительства;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на стадии подготовки проектной документации до получения разрешения на строительство;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3)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853B71" w:rsidRPr="0069285F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69285F">
        <w:rPr>
          <w:rFonts w:ascii="Times New Roman" w:hAnsi="Times New Roman"/>
          <w:sz w:val="24"/>
          <w:szCs w:val="24"/>
        </w:rPr>
        <w:t xml:space="preserve">4. Заявление на получение разрешения на условно разрешенный вид использования недвижимости, требующий специального согласования, направляется заинтересованным </w:t>
      </w:r>
      <w:r w:rsidR="00D9672B" w:rsidRPr="0069285F">
        <w:rPr>
          <w:rFonts w:ascii="Times New Roman" w:hAnsi="Times New Roman"/>
          <w:sz w:val="24"/>
          <w:szCs w:val="24"/>
        </w:rPr>
        <w:t>в Комиссию</w:t>
      </w:r>
      <w:r w:rsidR="00F96519" w:rsidRPr="0069285F"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  <w:r w:rsidR="00D9672B" w:rsidRPr="0069285F">
        <w:rPr>
          <w:rFonts w:ascii="Times New Roman" w:hAnsi="Times New Roman"/>
          <w:sz w:val="24"/>
          <w:szCs w:val="24"/>
        </w:rPr>
        <w:t xml:space="preserve">. </w:t>
      </w:r>
      <w:r w:rsidRPr="0069285F">
        <w:rPr>
          <w:rFonts w:ascii="Times New Roman" w:hAnsi="Times New Roman"/>
          <w:sz w:val="24"/>
          <w:szCs w:val="24"/>
        </w:rPr>
        <w:t xml:space="preserve">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lastRenderedPageBreak/>
        <w:t xml:space="preserve">Заявление должно содержать: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1) запрос о предоставлении специального согласования;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 При получении заявления Комиссия: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1) в течение трех дней после регистрации заявки запрашивает письменные заключения по предмету запроса от: а) уполномоченного органа по природным ресурсам и охране окружающей среды; б) уполномоченного органа по государственному санитарно-эпидемиологическому надзору; в) уполномоченного органа по охране и использованию объектов культурного наследия. Указанные запросы направляются в случаях, когда соответствующий земельный участок расположен в границах зон с особыми условиями использования территории,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 Уполномоченные органы в течение 14 дней со дня поступления запроса представляют в Комиссию письменные заключения.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Основаниями для составления письменных заключений являются: а) соответствие намерений заявителя настоящему Положению; б)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в) соблюдение прав владельцев сопредельных объектов недвижимости, иных физических и юридических лиц;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2)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5. Решение о предоставлении разрешения принимается Главой не позднее 10 дней после поступления рекомендаций Комиссии по землепользованию и застройке.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6. При необходимости проведения публичных слушаний Комиссия обеспечивает информирование граждан, проживающих в территориальной зоне, в которой располагается объект недвижимости, в отношении которого запрашивается разрешение на условно разрешенный вид использования, а также персонально оповещает правообладателей смежных земельных участков и правообладателей объектов капитального строительства, расположенных на смежных земельных участках, о проведении публичных слушаний. Указанные сообщения направляются не позднее 10 дней с момента поступления заявки заинтересованного лица.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lastRenderedPageBreak/>
        <w:t xml:space="preserve">7.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негативного воздействия. </w:t>
      </w:r>
    </w:p>
    <w:p w:rsidR="00853B71" w:rsidRPr="00D9672B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8. Срок проведения публичных слушаний не может превышать 1 месяц со дня оповещения </w:t>
      </w:r>
      <w:r w:rsidRPr="00D9672B">
        <w:rPr>
          <w:rFonts w:ascii="Times New Roman" w:hAnsi="Times New Roman"/>
          <w:sz w:val="24"/>
          <w:szCs w:val="24"/>
        </w:rPr>
        <w:t xml:space="preserve">граждан до дня опубликования заключения о его результатах. </w:t>
      </w:r>
    </w:p>
    <w:p w:rsidR="00D9672B" w:rsidRDefault="00D9672B" w:rsidP="00D9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85F">
        <w:rPr>
          <w:rFonts w:ascii="Times New Roman" w:hAnsi="Times New Roman"/>
          <w:sz w:val="24"/>
          <w:szCs w:val="24"/>
        </w:rPr>
        <w:t xml:space="preserve">9. </w:t>
      </w:r>
      <w:r w:rsidRPr="0069285F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F96519" w:rsidRPr="0069285F">
        <w:rPr>
          <w:rFonts w:ascii="Times New Roman" w:hAnsi="Times New Roman" w:cs="Times New Roman"/>
          <w:sz w:val="24"/>
          <w:szCs w:val="24"/>
        </w:rPr>
        <w:t>Слюдянского района</w:t>
      </w:r>
      <w:r w:rsidRPr="0069285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672B" w:rsidRPr="00D9672B" w:rsidRDefault="00D9672B" w:rsidP="00D96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B71" w:rsidRDefault="00D9672B" w:rsidP="00853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53B71" w:rsidRPr="00232BC6">
        <w:rPr>
          <w:rFonts w:ascii="Times New Roman" w:hAnsi="Times New Roman"/>
          <w:sz w:val="24"/>
          <w:szCs w:val="24"/>
        </w:rPr>
        <w:t xml:space="preserve">.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причин. </w:t>
      </w:r>
    </w:p>
    <w:p w:rsidR="00853B71" w:rsidRDefault="00D9672B" w:rsidP="00853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53B71" w:rsidRPr="00232BC6">
        <w:rPr>
          <w:rFonts w:ascii="Times New Roman" w:hAnsi="Times New Roman"/>
          <w:sz w:val="24"/>
          <w:szCs w:val="24"/>
        </w:rPr>
        <w:t>. На основании указанных в части</w:t>
      </w:r>
      <w:r w:rsidR="00AF3B8A">
        <w:rPr>
          <w:rFonts w:ascii="Times New Roman" w:hAnsi="Times New Roman"/>
          <w:sz w:val="24"/>
          <w:szCs w:val="24"/>
        </w:rPr>
        <w:t xml:space="preserve"> 10</w:t>
      </w:r>
      <w:r w:rsidR="00853B71" w:rsidRPr="00232BC6">
        <w:rPr>
          <w:rFonts w:ascii="Times New Roman" w:hAnsi="Times New Roman"/>
          <w:sz w:val="24"/>
          <w:szCs w:val="24"/>
        </w:rPr>
        <w:t xml:space="preserve"> настоящего раздела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предоставлении. </w:t>
      </w:r>
      <w:r w:rsidR="00853B71" w:rsidRPr="0069285F">
        <w:rPr>
          <w:rFonts w:ascii="Times New Roman" w:hAnsi="Times New Roman"/>
          <w:sz w:val="24"/>
          <w:szCs w:val="24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8C150A" w:rsidRPr="0069285F">
        <w:rPr>
          <w:rFonts w:ascii="Times New Roman" w:hAnsi="Times New Roman"/>
          <w:sz w:val="24"/>
          <w:szCs w:val="24"/>
        </w:rPr>
        <w:t xml:space="preserve"> Слюдянского района</w:t>
      </w:r>
      <w:r w:rsidR="00853B71" w:rsidRPr="0069285F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1</w:t>
      </w:r>
      <w:r w:rsidR="00D9672B">
        <w:rPr>
          <w:rFonts w:ascii="Times New Roman" w:hAnsi="Times New Roman"/>
          <w:sz w:val="24"/>
          <w:szCs w:val="24"/>
        </w:rPr>
        <w:t>2</w:t>
      </w:r>
      <w:r w:rsidRPr="00232BC6">
        <w:rPr>
          <w:rFonts w:ascii="Times New Roman" w:hAnsi="Times New Roman"/>
          <w:sz w:val="24"/>
          <w:szCs w:val="24"/>
        </w:rPr>
        <w:t xml:space="preserve">.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срок, не превышающий 60 дней со дня подачи заявки, за исключением случаев, когда с заявителем достигнута договоренность об ином сроке. </w:t>
      </w:r>
    </w:p>
    <w:p w:rsidR="00853B71" w:rsidRDefault="00D9672B" w:rsidP="00853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53B71" w:rsidRPr="00232BC6">
        <w:rPr>
          <w:rFonts w:ascii="Times New Roman" w:hAnsi="Times New Roman"/>
          <w:sz w:val="24"/>
          <w:szCs w:val="24"/>
        </w:rPr>
        <w:t xml:space="preserve">.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340923">
        <w:rPr>
          <w:rFonts w:ascii="Times New Roman" w:hAnsi="Times New Roman"/>
          <w:b/>
          <w:sz w:val="24"/>
          <w:szCs w:val="24"/>
        </w:rPr>
        <w:t>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1. Правообладатели земельных участков, размеры которых меньше минимальных размеров, установленных настоящими Правилами, имеющих неудобную конфигурацию, неблагоприятные инженерно-геологические и иные неблагоприятные характеристики, которые не позволяют эффективно использовать земельные участки, могут обратиться за разрешением на отклонение от предельных параметров разрешенного строительства, реконструкции объекта капитального строительства, установленных настоящими Правилами.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2. Отклонение от предельных параметров разрешенного строительства, реконструкции объекта капитального строительства разрешается для отдельного земельного участка при </w:t>
      </w:r>
      <w:r w:rsidRPr="00232BC6">
        <w:rPr>
          <w:rFonts w:ascii="Times New Roman" w:hAnsi="Times New Roman"/>
          <w:sz w:val="24"/>
          <w:szCs w:val="24"/>
        </w:rPr>
        <w:lastRenderedPageBreak/>
        <w:t xml:space="preserve">условии соблюдения требований технических регламентов и обсуждении этого вопроса на публичных слушаниях.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69285F">
        <w:rPr>
          <w:rFonts w:ascii="Times New Roman" w:hAnsi="Times New Roman"/>
          <w:sz w:val="24"/>
          <w:szCs w:val="24"/>
        </w:rPr>
        <w:t xml:space="preserve">3. Заявление на получение разрешения об отклонении от предельных параметров разрешенного строительства, реконструкции объекта капитального строительства направляется </w:t>
      </w:r>
      <w:r w:rsidR="00F96519" w:rsidRPr="0069285F">
        <w:rPr>
          <w:rFonts w:ascii="Times New Roman" w:hAnsi="Times New Roman"/>
          <w:sz w:val="24"/>
          <w:szCs w:val="24"/>
        </w:rPr>
        <w:t>в Комиссию</w:t>
      </w:r>
      <w:r w:rsidRPr="0069285F">
        <w:rPr>
          <w:rFonts w:ascii="Times New Roman" w:hAnsi="Times New Roman"/>
          <w:sz w:val="24"/>
          <w:szCs w:val="24"/>
        </w:rPr>
        <w:t xml:space="preserve"> по землепользованию и застройке.</w:t>
      </w:r>
      <w:r w:rsidRPr="00232BC6">
        <w:rPr>
          <w:rFonts w:ascii="Times New Roman" w:hAnsi="Times New Roman"/>
          <w:sz w:val="24"/>
          <w:szCs w:val="24"/>
        </w:rPr>
        <w:t xml:space="preserve"> Заявление должно содержать обоснование того, что запрашиваемые отклонения: 1) необходимы для эффективного использования земельного участка; 2) не ущемляют права владельцев смежных земельных участков, других объектов недвижимости и не противоречат интересам поселка; 3) допустимы архитектурными требованиями, требованиями безопасности: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определяемыми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4. После получения заявления Комиссия: 1) в течение трех дней запрашивает письменные заключения по предмету запроса от контрольных и надзорных органов, уполномоченных регулировать и контролировать застройку и землепользование, других заинтересованных лиц; 2) в течение 10 дней со дня получения заявки обеспечивает информирование граждан, проживающих в территориальной зоне, в которой располагается объект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строительства, а также персонально оповещает правообладателей смежных земельных участков и правообладателей объектов капитального строительства, расположенных на смежных земельных участках, о проведении публичных слушаний.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5. В случае, если запрашиваемое отклонение от предельных параметров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негативного воздействия.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6. Срок проведения публичных слушаний не может превышать 1 месяц со дня оповещения граждан до дня опубликования заключения о его результатах.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7.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в его отказе с указанием причин.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 xml:space="preserve">8.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его предоставлении.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C150A">
        <w:rPr>
          <w:rFonts w:ascii="Times New Roman" w:hAnsi="Times New Roman"/>
          <w:sz w:val="24"/>
          <w:szCs w:val="24"/>
        </w:rPr>
        <w:t>Слюдянского района</w:t>
      </w:r>
      <w:r w:rsidRPr="00232BC6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>ети «Интернет»</w:t>
      </w:r>
      <w:r w:rsidRPr="00232BC6">
        <w:rPr>
          <w:rFonts w:ascii="Times New Roman" w:hAnsi="Times New Roman"/>
          <w:sz w:val="24"/>
          <w:szCs w:val="24"/>
        </w:rPr>
        <w:t xml:space="preserve">. </w:t>
      </w:r>
    </w:p>
    <w:p w:rsidR="00853B71" w:rsidRDefault="00853B71" w:rsidP="00853B71">
      <w:pPr>
        <w:jc w:val="both"/>
        <w:rPr>
          <w:rFonts w:ascii="Times New Roman" w:hAnsi="Times New Roman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9.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C6">
        <w:rPr>
          <w:rFonts w:ascii="Times New Roman" w:hAnsi="Times New Roman"/>
          <w:sz w:val="24"/>
          <w:szCs w:val="24"/>
        </w:rPr>
        <w:lastRenderedPageBreak/>
        <w:t xml:space="preserve">быть принято в срок, не превышающий 60 дней со дня подачи заявки, за исключением случаев, когда с заявителем достигнута договоренность об ином сроке. </w:t>
      </w:r>
    </w:p>
    <w:p w:rsidR="00853B71" w:rsidRDefault="00853B71" w:rsidP="008C150A">
      <w:pPr>
        <w:jc w:val="both"/>
        <w:rPr>
          <w:rFonts w:cstheme="minorHAnsi"/>
          <w:sz w:val="24"/>
          <w:szCs w:val="24"/>
        </w:rPr>
      </w:pPr>
      <w:r w:rsidRPr="00232BC6">
        <w:rPr>
          <w:rFonts w:ascii="Times New Roman" w:hAnsi="Times New Roman"/>
          <w:sz w:val="24"/>
          <w:szCs w:val="24"/>
        </w:rPr>
        <w:t>10.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может быть обжаловано в суде.</w:t>
      </w:r>
    </w:p>
    <w:sectPr w:rsidR="00853B71" w:rsidSect="00267D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6C8"/>
    <w:multiLevelType w:val="multilevel"/>
    <w:tmpl w:val="E15A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F1590E"/>
    <w:multiLevelType w:val="multilevel"/>
    <w:tmpl w:val="91085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232609"/>
    <w:multiLevelType w:val="multilevel"/>
    <w:tmpl w:val="D20EE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6355653"/>
    <w:multiLevelType w:val="multilevel"/>
    <w:tmpl w:val="CDB8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0D62EE"/>
    <w:multiLevelType w:val="multilevel"/>
    <w:tmpl w:val="2A72C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5A59BE"/>
    <w:multiLevelType w:val="hybridMultilevel"/>
    <w:tmpl w:val="467EA23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EEB5A6B"/>
    <w:multiLevelType w:val="hybridMultilevel"/>
    <w:tmpl w:val="18584B6C"/>
    <w:lvl w:ilvl="0" w:tplc="F9AE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C"/>
    <w:rsid w:val="00074DD1"/>
    <w:rsid w:val="00101DD1"/>
    <w:rsid w:val="001E4C37"/>
    <w:rsid w:val="00210F71"/>
    <w:rsid w:val="002273E7"/>
    <w:rsid w:val="0025534E"/>
    <w:rsid w:val="00261FD5"/>
    <w:rsid w:val="00267DF2"/>
    <w:rsid w:val="00285C7D"/>
    <w:rsid w:val="00285DC3"/>
    <w:rsid w:val="002D6816"/>
    <w:rsid w:val="002D76E7"/>
    <w:rsid w:val="002F74B4"/>
    <w:rsid w:val="003147F2"/>
    <w:rsid w:val="00322A76"/>
    <w:rsid w:val="00330C46"/>
    <w:rsid w:val="003D2158"/>
    <w:rsid w:val="003F50BE"/>
    <w:rsid w:val="00417FA2"/>
    <w:rsid w:val="004562BB"/>
    <w:rsid w:val="0048036C"/>
    <w:rsid w:val="00487306"/>
    <w:rsid w:val="004A78A7"/>
    <w:rsid w:val="004C77A5"/>
    <w:rsid w:val="00526AA7"/>
    <w:rsid w:val="00534F59"/>
    <w:rsid w:val="00556A11"/>
    <w:rsid w:val="005571AC"/>
    <w:rsid w:val="00590F9D"/>
    <w:rsid w:val="005D1E98"/>
    <w:rsid w:val="005E3F59"/>
    <w:rsid w:val="0060793D"/>
    <w:rsid w:val="00655680"/>
    <w:rsid w:val="006609E3"/>
    <w:rsid w:val="00690321"/>
    <w:rsid w:val="006925F0"/>
    <w:rsid w:val="0069285F"/>
    <w:rsid w:val="0069680B"/>
    <w:rsid w:val="006C32C7"/>
    <w:rsid w:val="007266E6"/>
    <w:rsid w:val="00797BF7"/>
    <w:rsid w:val="007C279D"/>
    <w:rsid w:val="00817716"/>
    <w:rsid w:val="00825CDC"/>
    <w:rsid w:val="00853B71"/>
    <w:rsid w:val="008C150A"/>
    <w:rsid w:val="008E5A13"/>
    <w:rsid w:val="008F2AB7"/>
    <w:rsid w:val="0090563F"/>
    <w:rsid w:val="00953F9E"/>
    <w:rsid w:val="009B05EE"/>
    <w:rsid w:val="009C7C86"/>
    <w:rsid w:val="00A00884"/>
    <w:rsid w:val="00A35FFF"/>
    <w:rsid w:val="00A54B2B"/>
    <w:rsid w:val="00A623E7"/>
    <w:rsid w:val="00A974B9"/>
    <w:rsid w:val="00AE776B"/>
    <w:rsid w:val="00AF3B8A"/>
    <w:rsid w:val="00AF42F8"/>
    <w:rsid w:val="00B16D09"/>
    <w:rsid w:val="00B24D8C"/>
    <w:rsid w:val="00B50C0D"/>
    <w:rsid w:val="00B62D0C"/>
    <w:rsid w:val="00BA2583"/>
    <w:rsid w:val="00C91075"/>
    <w:rsid w:val="00CC7094"/>
    <w:rsid w:val="00D04A3C"/>
    <w:rsid w:val="00D54EB0"/>
    <w:rsid w:val="00D775F8"/>
    <w:rsid w:val="00D9672B"/>
    <w:rsid w:val="00DC6AAA"/>
    <w:rsid w:val="00E12DFD"/>
    <w:rsid w:val="00E52521"/>
    <w:rsid w:val="00E75EA4"/>
    <w:rsid w:val="00E8126C"/>
    <w:rsid w:val="00EE1A61"/>
    <w:rsid w:val="00F42A8D"/>
    <w:rsid w:val="00F642C9"/>
    <w:rsid w:val="00F96519"/>
    <w:rsid w:val="00F975B5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F655-E302-40B7-8FFC-845CA2D2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Port1</cp:lastModifiedBy>
  <cp:revision>2</cp:revision>
  <cp:lastPrinted>2017-01-19T05:33:00Z</cp:lastPrinted>
  <dcterms:created xsi:type="dcterms:W3CDTF">2017-01-19T05:34:00Z</dcterms:created>
  <dcterms:modified xsi:type="dcterms:W3CDTF">2017-01-19T05:34:00Z</dcterms:modified>
</cp:coreProperties>
</file>