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90" w:rsidRDefault="00307190" w:rsidP="00307190">
      <w:pPr>
        <w:autoSpaceDE w:val="0"/>
        <w:autoSpaceDN w:val="0"/>
        <w:adjustRightInd w:val="0"/>
        <w:spacing w:after="0" w:line="240" w:lineRule="auto"/>
        <w:ind w:left="540"/>
        <w:jc w:val="both"/>
        <w:rPr>
          <w:rFonts w:ascii="Calibri" w:hAnsi="Calibri" w:cs="Calibri"/>
        </w:rPr>
      </w:pPr>
      <w:r>
        <w:rPr>
          <w:rFonts w:ascii="Arial" w:hAnsi="Arial" w:cs="Arial"/>
          <w:sz w:val="20"/>
          <w:szCs w:val="20"/>
        </w:rPr>
        <w:t xml:space="preserve">Статья 87. </w:t>
      </w:r>
      <w:r>
        <w:rPr>
          <w:rFonts w:ascii="Calibri" w:hAnsi="Calibri" w:cs="Calibri"/>
        </w:rPr>
        <w:t>Закон Иркутской области от 11.11.2011 N 116-ОЗ</w:t>
      </w:r>
    </w:p>
    <w:p w:rsidR="00307190" w:rsidRDefault="00307190" w:rsidP="00307190">
      <w:pPr>
        <w:autoSpaceDE w:val="0"/>
        <w:autoSpaceDN w:val="0"/>
        <w:adjustRightInd w:val="0"/>
        <w:spacing w:after="0" w:line="240" w:lineRule="auto"/>
        <w:ind w:left="540"/>
        <w:jc w:val="both"/>
        <w:rPr>
          <w:rFonts w:ascii="Calibri" w:hAnsi="Calibri" w:cs="Calibri"/>
        </w:rPr>
      </w:pPr>
      <w:r>
        <w:rPr>
          <w:rFonts w:ascii="Calibri" w:hAnsi="Calibri" w:cs="Calibri"/>
        </w:rPr>
        <w:t>(ред. от 06.03.2017)</w:t>
      </w:r>
    </w:p>
    <w:p w:rsidR="00307190" w:rsidRDefault="00307190" w:rsidP="00307190">
      <w:pPr>
        <w:autoSpaceDE w:val="0"/>
        <w:autoSpaceDN w:val="0"/>
        <w:adjustRightInd w:val="0"/>
        <w:spacing w:after="0" w:line="240" w:lineRule="auto"/>
        <w:ind w:left="540"/>
        <w:jc w:val="both"/>
        <w:rPr>
          <w:rFonts w:ascii="Calibri" w:hAnsi="Calibri" w:cs="Calibri"/>
        </w:rPr>
      </w:pPr>
      <w:r>
        <w:rPr>
          <w:rFonts w:ascii="Calibri" w:hAnsi="Calibri" w:cs="Calibri"/>
        </w:rPr>
        <w:t>"О муниципальных выборах в Иркутской области"</w:t>
      </w:r>
    </w:p>
    <w:p w:rsidR="00307190" w:rsidRDefault="00307190" w:rsidP="00307190">
      <w:pPr>
        <w:autoSpaceDE w:val="0"/>
        <w:autoSpaceDN w:val="0"/>
        <w:adjustRightInd w:val="0"/>
        <w:spacing w:after="0" w:line="240" w:lineRule="auto"/>
        <w:ind w:left="540"/>
        <w:jc w:val="both"/>
        <w:rPr>
          <w:rFonts w:ascii="Calibri" w:hAnsi="Calibri" w:cs="Calibri"/>
        </w:rPr>
      </w:pPr>
      <w:r>
        <w:rPr>
          <w:rFonts w:ascii="Calibri" w:hAnsi="Calibri" w:cs="Calibri"/>
        </w:rPr>
        <w:t>(</w:t>
      </w:r>
      <w:proofErr w:type="gramStart"/>
      <w:r>
        <w:rPr>
          <w:rFonts w:ascii="Calibri" w:hAnsi="Calibri" w:cs="Calibri"/>
        </w:rPr>
        <w:t>принят</w:t>
      </w:r>
      <w:proofErr w:type="gramEnd"/>
      <w:r>
        <w:rPr>
          <w:rFonts w:ascii="Calibri" w:hAnsi="Calibri" w:cs="Calibri"/>
        </w:rPr>
        <w:t xml:space="preserve"> Постановлением Законодательного Собрания Иркутской области от 19.10.2011 N 36/13-ЗС)</w:t>
      </w:r>
    </w:p>
    <w:p w:rsidR="00307190" w:rsidRDefault="00307190" w:rsidP="00307190">
      <w:pPr>
        <w:autoSpaceDE w:val="0"/>
        <w:autoSpaceDN w:val="0"/>
        <w:adjustRightInd w:val="0"/>
        <w:spacing w:after="0" w:line="240" w:lineRule="auto"/>
        <w:ind w:firstLine="540"/>
        <w:jc w:val="both"/>
        <w:outlineLvl w:val="0"/>
        <w:rPr>
          <w:rFonts w:ascii="Arial" w:hAnsi="Arial" w:cs="Arial"/>
          <w:sz w:val="20"/>
          <w:szCs w:val="20"/>
        </w:rPr>
      </w:pPr>
    </w:p>
    <w:p w:rsidR="00307190" w:rsidRDefault="00307190" w:rsidP="00307190">
      <w:pPr>
        <w:autoSpaceDE w:val="0"/>
        <w:autoSpaceDN w:val="0"/>
        <w:adjustRightInd w:val="0"/>
        <w:spacing w:after="0" w:line="240" w:lineRule="auto"/>
        <w:ind w:firstLine="540"/>
        <w:jc w:val="both"/>
        <w:outlineLvl w:val="0"/>
        <w:rPr>
          <w:rFonts w:ascii="Arial" w:hAnsi="Arial" w:cs="Arial"/>
          <w:sz w:val="20"/>
          <w:szCs w:val="20"/>
        </w:rPr>
      </w:pPr>
    </w:p>
    <w:p w:rsidR="00307190" w:rsidRDefault="00307190" w:rsidP="0030719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Предельные размеры расходования средств избирательных фондов кандидатов, избирательных объединений</w:t>
      </w:r>
    </w:p>
    <w:p w:rsidR="00307190" w:rsidRDefault="00307190" w:rsidP="00307190">
      <w:pPr>
        <w:autoSpaceDE w:val="0"/>
        <w:autoSpaceDN w:val="0"/>
        <w:adjustRightInd w:val="0"/>
        <w:spacing w:after="0" w:line="240" w:lineRule="auto"/>
        <w:jc w:val="both"/>
        <w:rPr>
          <w:rFonts w:ascii="Arial" w:hAnsi="Arial" w:cs="Arial"/>
          <w:sz w:val="20"/>
          <w:szCs w:val="20"/>
        </w:rPr>
      </w:pP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0" w:name="Par2"/>
      <w:bookmarkEnd w:id="0"/>
      <w:r>
        <w:rPr>
          <w:rFonts w:ascii="Arial" w:hAnsi="Arial" w:cs="Arial"/>
          <w:sz w:val="20"/>
          <w:szCs w:val="20"/>
        </w:rPr>
        <w:t>1. При проведении выборов главы муниципального образования сумма всех расходов кандидата из средств его избирательного фонда не может превышать:</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500 тысяч рублей - при количестве зарегистрированных избирателей в муниципальном образовании не более 10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1 миллиона рублей - при количестве зарегистрированных избирателей в муниципальном образовании не более 20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1 миллиона 200 тысяч рублей - при количестве зарегистрированных избирателей в муниципальном образовании не более 30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1 миллиона 300 тысяч рублей - при количестве зарегистрированных избирателей в муниципальном образовании не более 50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1 миллиона 500 тысяч рублей - при количестве зарегистрированных избирателей в муниципальном образовании не более 100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1 миллиона 600 тысяч рублей - при количестве зарегистрированных избирателей в муниципальном образовании не более 400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2 миллионов 500 тысяч рублей - при количестве зарегистрированных избирателей в муниципальном образовании более 400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проведении выборов депутатов представительного органа муниципального образования по мажоритарной или смешанной избирательной системе сумма всех расходов кандидата из средств его избирательного фонда не может превышать:</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250 тысяч рублей - при количестве зарегистрированных избирателей в муниципальном образовании не более 10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500 тысяч рублей - при количестве зарегистрированных избирателей в муниципальном образовании не более 20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600 тысяч рублей - при количестве зарегистрированных избирателей в муниципальном образовании не более 30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650 тысяч рублей - при количестве зарегистрированных избирателей в муниципальном образовании не более 50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750 тысяч рублей - при количестве зарегистрированных избирателей в муниципальном образовании не более 100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800 тысяч рублей - при количестве зарегистрированных избирателей в муниципальном образовании не более 400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1 миллиона 250 тысяч рублей - при количестве зарегистрированных избирателей в муниципальном образовании более 400 тысяч человек.</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 w:name="Par18"/>
      <w:bookmarkEnd w:id="1"/>
      <w:r>
        <w:rPr>
          <w:rFonts w:ascii="Arial" w:hAnsi="Arial" w:cs="Arial"/>
          <w:sz w:val="20"/>
          <w:szCs w:val="20"/>
        </w:rPr>
        <w:t>3. При проведении выборов депутатов представительного органа муниципального образования по пропорциональной или смешанной избирательной системе сумма всех расходов избирательного объединения из средств его избирательного фонда не может превышать 30 миллионов рублей.</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В случае отложения дня голосования в целях дополнительного выдвижения кандидатов, муниципальных списков кандидатов при обстоятельствах, указанных в </w:t>
      </w:r>
      <w:hyperlink r:id="rId5" w:history="1">
        <w:r>
          <w:rPr>
            <w:rFonts w:ascii="Arial" w:hAnsi="Arial" w:cs="Arial"/>
            <w:color w:val="0000FF"/>
            <w:sz w:val="20"/>
            <w:szCs w:val="20"/>
          </w:rPr>
          <w:t>части 12 статьи 62</w:t>
        </w:r>
      </w:hyperlink>
      <w:r>
        <w:rPr>
          <w:rFonts w:ascii="Arial" w:hAnsi="Arial" w:cs="Arial"/>
          <w:sz w:val="20"/>
          <w:szCs w:val="20"/>
        </w:rP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муниципальный список кандидатов, рассчитанная в соответствии с </w:t>
      </w:r>
      <w:hyperlink w:anchor="Par2" w:history="1">
        <w:r>
          <w:rPr>
            <w:rFonts w:ascii="Arial" w:hAnsi="Arial" w:cs="Arial"/>
            <w:color w:val="0000FF"/>
            <w:sz w:val="20"/>
            <w:szCs w:val="20"/>
          </w:rPr>
          <w:t>частями 1</w:t>
        </w:r>
      </w:hyperlink>
      <w:r>
        <w:rPr>
          <w:rFonts w:ascii="Arial" w:hAnsi="Arial" w:cs="Arial"/>
          <w:sz w:val="20"/>
          <w:szCs w:val="20"/>
        </w:rPr>
        <w:t xml:space="preserve"> - </w:t>
      </w:r>
      <w:hyperlink w:anchor="Par18" w:history="1">
        <w:r>
          <w:rPr>
            <w:rFonts w:ascii="Arial" w:hAnsi="Arial" w:cs="Arial"/>
            <w:color w:val="0000FF"/>
            <w:sz w:val="20"/>
            <w:szCs w:val="20"/>
          </w:rPr>
          <w:t>3</w:t>
        </w:r>
      </w:hyperlink>
      <w:r>
        <w:rPr>
          <w:rFonts w:ascii="Arial" w:hAnsi="Arial" w:cs="Arial"/>
          <w:sz w:val="20"/>
          <w:szCs w:val="20"/>
        </w:rPr>
        <w:t xml:space="preserve"> настоящей статьи, увеличивается в 1,5 раза.</w:t>
      </w:r>
      <w:proofErr w:type="gramEnd"/>
      <w:r>
        <w:rPr>
          <w:rFonts w:ascii="Arial" w:hAnsi="Arial" w:cs="Arial"/>
          <w:sz w:val="20"/>
          <w:szCs w:val="20"/>
        </w:rPr>
        <w:t xml:space="preserve"> При расчете указанной в настоящей части предельной суммы результат округляется до целых рублей в большую сторону.</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федеральными законами, настоящим Законом, иным законом области,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r>
        <w:rPr>
          <w:rFonts w:ascii="Arial" w:hAnsi="Arial" w:cs="Arial"/>
          <w:sz w:val="20"/>
          <w:szCs w:val="20"/>
        </w:rPr>
        <w:t xml:space="preserve"> Указанный кандидат обязан письменно уведомить избирательную комиссию муниципального образования об открытии им специальных избирательных счетов на других выборах, проводимых на территории избирательного округа.</w:t>
      </w:r>
    </w:p>
    <w:p w:rsidR="00307190" w:rsidRDefault="00307190" w:rsidP="0030719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85. Источники формирования избирательных фондов</w:t>
      </w:r>
    </w:p>
    <w:p w:rsidR="00307190" w:rsidRDefault="00307190" w:rsidP="00307190">
      <w:pPr>
        <w:autoSpaceDE w:val="0"/>
        <w:autoSpaceDN w:val="0"/>
        <w:adjustRightInd w:val="0"/>
        <w:spacing w:after="0" w:line="240" w:lineRule="auto"/>
        <w:jc w:val="both"/>
        <w:rPr>
          <w:rFonts w:ascii="Arial" w:hAnsi="Arial" w:cs="Arial"/>
          <w:sz w:val="20"/>
          <w:szCs w:val="20"/>
        </w:rPr>
      </w:pP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Избирательные фонды кандидатов могут формироваться только за счет следующих денежных средств:</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собственных средств кандидата, которые в совокупности не могут превышать 20 процентов от предельной суммы расходов из средств избирательного фонда кандидата, установленной в соответствии со </w:t>
      </w:r>
      <w:hyperlink r:id="rId6" w:history="1">
        <w:r>
          <w:rPr>
            <w:rFonts w:ascii="Arial" w:hAnsi="Arial" w:cs="Arial"/>
            <w:color w:val="0000FF"/>
            <w:sz w:val="20"/>
            <w:szCs w:val="20"/>
          </w:rPr>
          <w:t>статьей 87</w:t>
        </w:r>
      </w:hyperlink>
      <w:r>
        <w:rPr>
          <w:rFonts w:ascii="Arial" w:hAnsi="Arial" w:cs="Arial"/>
          <w:sz w:val="20"/>
          <w:szCs w:val="20"/>
        </w:rPr>
        <w:t xml:space="preserve"> настоящего Закона;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расходов из средств избирательного фонда кандидата, установленной в соответствии со </w:t>
      </w:r>
      <w:hyperlink r:id="rId7" w:history="1">
        <w:r>
          <w:rPr>
            <w:rFonts w:ascii="Arial" w:hAnsi="Arial" w:cs="Arial"/>
            <w:color w:val="0000FF"/>
            <w:sz w:val="20"/>
            <w:szCs w:val="20"/>
          </w:rPr>
          <w:t>статьей 87</w:t>
        </w:r>
      </w:hyperlink>
      <w:r>
        <w:rPr>
          <w:rFonts w:ascii="Arial" w:hAnsi="Arial" w:cs="Arial"/>
          <w:sz w:val="20"/>
          <w:szCs w:val="20"/>
        </w:rPr>
        <w:t xml:space="preserve"> настоящего Закона;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добровольных пожертвований граждан в размере, не превышающем для каждого гражданина 5 процентов от предельной суммы расходов из средств избирательного фонда кандидата, установленной в соответствии со </w:t>
      </w:r>
      <w:hyperlink r:id="rId8" w:history="1">
        <w:r>
          <w:rPr>
            <w:rFonts w:ascii="Arial" w:hAnsi="Arial" w:cs="Arial"/>
            <w:color w:val="0000FF"/>
            <w:sz w:val="20"/>
            <w:szCs w:val="20"/>
          </w:rPr>
          <w:t>статьей 87</w:t>
        </w:r>
      </w:hyperlink>
      <w:r>
        <w:rPr>
          <w:rFonts w:ascii="Arial" w:hAnsi="Arial" w:cs="Arial"/>
          <w:sz w:val="20"/>
          <w:szCs w:val="20"/>
        </w:rPr>
        <w:t xml:space="preserve"> настоящего Закона;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добровольных пожертвований юридических лиц в размере, не превышающем для каждого юридического лица 20 процентов от предельной суммы расходов из средств избирательного фонда кандидата, установленной в соответствии со </w:t>
      </w:r>
      <w:hyperlink r:id="rId9" w:history="1">
        <w:r>
          <w:rPr>
            <w:rFonts w:ascii="Arial" w:hAnsi="Arial" w:cs="Arial"/>
            <w:color w:val="0000FF"/>
            <w:sz w:val="20"/>
            <w:szCs w:val="20"/>
          </w:rPr>
          <w:t>статьей 87</w:t>
        </w:r>
      </w:hyperlink>
      <w:r>
        <w:rPr>
          <w:rFonts w:ascii="Arial" w:hAnsi="Arial" w:cs="Arial"/>
          <w:sz w:val="20"/>
          <w:szCs w:val="20"/>
        </w:rPr>
        <w:t xml:space="preserve"> настоящего Закона.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2" w:name="Par7"/>
      <w:bookmarkEnd w:id="2"/>
      <w:r>
        <w:rPr>
          <w:rFonts w:ascii="Arial" w:hAnsi="Arial" w:cs="Arial"/>
          <w:sz w:val="20"/>
          <w:szCs w:val="20"/>
        </w:rPr>
        <w:t>2. Избирательные фонды избирательных объединений могут формироваться только за счет следующих денежных средств:</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собственных средств избирательного объединения, которые в совокупности не могут превышать 50 процентов от предельной суммы расходов из средств избирательного фонда избирательного объединения, установленной в соответствии со </w:t>
      </w:r>
      <w:hyperlink r:id="rId10" w:history="1">
        <w:r>
          <w:rPr>
            <w:rFonts w:ascii="Arial" w:hAnsi="Arial" w:cs="Arial"/>
            <w:color w:val="0000FF"/>
            <w:sz w:val="20"/>
            <w:szCs w:val="20"/>
          </w:rPr>
          <w:t>статьей 87</w:t>
        </w:r>
      </w:hyperlink>
      <w:r>
        <w:rPr>
          <w:rFonts w:ascii="Arial" w:hAnsi="Arial" w:cs="Arial"/>
          <w:sz w:val="20"/>
          <w:szCs w:val="20"/>
        </w:rPr>
        <w:t xml:space="preserve"> настоящего Закона;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добровольных пожертвований граждан в размере, не превышающем для каждого гражданина 5 процентов от предельной суммы расходов из средств избирательного фонда избирательного объединения, установленной в соответствии со </w:t>
      </w:r>
      <w:hyperlink r:id="rId11" w:history="1">
        <w:r>
          <w:rPr>
            <w:rFonts w:ascii="Arial" w:hAnsi="Arial" w:cs="Arial"/>
            <w:color w:val="0000FF"/>
            <w:sz w:val="20"/>
            <w:szCs w:val="20"/>
          </w:rPr>
          <w:t>статьей 87</w:t>
        </w:r>
      </w:hyperlink>
      <w:r>
        <w:rPr>
          <w:rFonts w:ascii="Arial" w:hAnsi="Arial" w:cs="Arial"/>
          <w:sz w:val="20"/>
          <w:szCs w:val="20"/>
        </w:rPr>
        <w:t xml:space="preserve"> настоящего Закона;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добровольных пожертвований юридических лиц в размере, не превышающем для каждого юридического лица 20 процентов от предельной суммы расходов из средств избирательного фонда избирательного объединения, установленной в соответствии со </w:t>
      </w:r>
      <w:hyperlink r:id="rId12" w:history="1">
        <w:r>
          <w:rPr>
            <w:rFonts w:ascii="Arial" w:hAnsi="Arial" w:cs="Arial"/>
            <w:color w:val="0000FF"/>
            <w:sz w:val="20"/>
            <w:szCs w:val="20"/>
          </w:rPr>
          <w:t>статьей 87</w:t>
        </w:r>
      </w:hyperlink>
      <w:r>
        <w:rPr>
          <w:rFonts w:ascii="Arial" w:hAnsi="Arial" w:cs="Arial"/>
          <w:sz w:val="20"/>
          <w:szCs w:val="20"/>
        </w:rPr>
        <w:t xml:space="preserve"> настоящего Закона.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3" w:name="Par11"/>
      <w:bookmarkEnd w:id="3"/>
      <w:r>
        <w:rPr>
          <w:rFonts w:ascii="Arial" w:hAnsi="Arial" w:cs="Arial"/>
          <w:sz w:val="20"/>
          <w:szCs w:val="20"/>
        </w:rPr>
        <w:t>3. Запрещается вносить пожертвования в избирательные фонды кандидатов, зарегистрированных кандидатов, избирательных объединений:</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4" w:name="Par12"/>
      <w:bookmarkEnd w:id="4"/>
      <w:r>
        <w:rPr>
          <w:rFonts w:ascii="Arial" w:hAnsi="Arial" w:cs="Arial"/>
          <w:sz w:val="20"/>
          <w:szCs w:val="20"/>
        </w:rPr>
        <w:t>1) иностранным государствам и иностранным организациям;</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иностранным гражданам, за исключением случая, предусмотренного </w:t>
      </w:r>
      <w:hyperlink r:id="rId13" w:history="1">
        <w:r>
          <w:rPr>
            <w:rFonts w:ascii="Arial" w:hAnsi="Arial" w:cs="Arial"/>
            <w:color w:val="0000FF"/>
            <w:sz w:val="20"/>
            <w:szCs w:val="20"/>
          </w:rPr>
          <w:t>частью 8 статьи 6</w:t>
        </w:r>
      </w:hyperlink>
      <w:r>
        <w:rPr>
          <w:rFonts w:ascii="Arial" w:hAnsi="Arial" w:cs="Arial"/>
          <w:sz w:val="20"/>
          <w:szCs w:val="20"/>
        </w:rPr>
        <w:t xml:space="preserve"> настоящего Закона;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лицам без гражданства;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5" w:name="Par15"/>
      <w:bookmarkEnd w:id="5"/>
      <w:r>
        <w:rPr>
          <w:rFonts w:ascii="Arial" w:hAnsi="Arial" w:cs="Arial"/>
          <w:sz w:val="20"/>
          <w:szCs w:val="20"/>
        </w:rPr>
        <w:t>4) гражданам Российской Федерации, не достигшим возраста 18 лет на день голосования;</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6" w:name="Par16"/>
      <w:bookmarkEnd w:id="6"/>
      <w:proofErr w:type="gramStart"/>
      <w:r>
        <w:rPr>
          <w:rFonts w:ascii="Arial" w:hAnsi="Arial" w:cs="Arial"/>
          <w:sz w:val="20"/>
          <w:szCs w:val="20"/>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7" w:name="Par17"/>
      <w:bookmarkEnd w:id="7"/>
      <w:r>
        <w:rPr>
          <w:rFonts w:ascii="Arial" w:hAnsi="Arial" w:cs="Arial"/>
          <w:sz w:val="20"/>
          <w:szCs w:val="20"/>
        </w:rPr>
        <w:t>6) международным организациям и международным общественным движениям;</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органам государственной власти, иным государственным органам, органам местного самоуправления;</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8" w:name="Par19"/>
      <w:bookmarkEnd w:id="8"/>
      <w:r>
        <w:rPr>
          <w:rFonts w:ascii="Arial" w:hAnsi="Arial" w:cs="Arial"/>
          <w:sz w:val="20"/>
          <w:szCs w:val="20"/>
        </w:rPr>
        <w:t>8) государственным и муниципальным учреждениям, государственным и муниципальным унитарным предприятиям;</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9" w:name="Par20"/>
      <w:bookmarkEnd w:id="9"/>
      <w:proofErr w:type="gramStart"/>
      <w:r>
        <w:rPr>
          <w:rFonts w:ascii="Arial" w:hAnsi="Arial" w:cs="Arial"/>
          <w:sz w:val="20"/>
          <w:szCs w:val="20"/>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6" w:history="1">
        <w:r>
          <w:rPr>
            <w:rFonts w:ascii="Arial" w:hAnsi="Arial" w:cs="Arial"/>
            <w:color w:val="0000FF"/>
            <w:sz w:val="20"/>
            <w:szCs w:val="20"/>
          </w:rPr>
          <w:t>пунктах 5</w:t>
        </w:r>
      </w:hyperlink>
      <w:r>
        <w:rPr>
          <w:rFonts w:ascii="Arial" w:hAnsi="Arial" w:cs="Arial"/>
          <w:sz w:val="20"/>
          <w:szCs w:val="20"/>
        </w:rPr>
        <w:t xml:space="preserve"> и </w:t>
      </w:r>
      <w:hyperlink w:anchor="Par20" w:history="1">
        <w:r>
          <w:rPr>
            <w:rFonts w:ascii="Arial" w:hAnsi="Arial" w:cs="Arial"/>
            <w:color w:val="0000FF"/>
            <w:sz w:val="20"/>
            <w:szCs w:val="20"/>
          </w:rPr>
          <w:t>9</w:t>
        </w:r>
      </w:hyperlink>
      <w:r>
        <w:rPr>
          <w:rFonts w:ascii="Arial" w:hAnsi="Arial" w:cs="Arial"/>
          <w:sz w:val="20"/>
          <w:szCs w:val="20"/>
        </w:rPr>
        <w:t xml:space="preserve"> настоящей части; </w:t>
      </w:r>
      <w:proofErr w:type="gramStart"/>
      <w:r>
        <w:rPr>
          <w:rFonts w:ascii="Arial" w:hAnsi="Arial" w:cs="Arial"/>
          <w:sz w:val="20"/>
          <w:szCs w:val="20"/>
        </w:rPr>
        <w:t xml:space="preserve">организациям, имеющим в своем уставном (складочном) капитале долю (вклад) юридических лиц, указанных в </w:t>
      </w:r>
      <w:hyperlink w:anchor="Par16" w:history="1">
        <w:r>
          <w:rPr>
            <w:rFonts w:ascii="Arial" w:hAnsi="Arial" w:cs="Arial"/>
            <w:color w:val="0000FF"/>
            <w:sz w:val="20"/>
            <w:szCs w:val="20"/>
          </w:rPr>
          <w:t>пунктах 5</w:t>
        </w:r>
      </w:hyperlink>
      <w:r>
        <w:rPr>
          <w:rFonts w:ascii="Arial" w:hAnsi="Arial" w:cs="Arial"/>
          <w:sz w:val="20"/>
          <w:szCs w:val="20"/>
        </w:rPr>
        <w:t xml:space="preserve"> и </w:t>
      </w:r>
      <w:hyperlink w:anchor="Par20" w:history="1">
        <w:r>
          <w:rPr>
            <w:rFonts w:ascii="Arial" w:hAnsi="Arial" w:cs="Arial"/>
            <w:color w:val="0000FF"/>
            <w:sz w:val="20"/>
            <w:szCs w:val="20"/>
          </w:rPr>
          <w:t>9</w:t>
        </w:r>
      </w:hyperlink>
      <w:r>
        <w:rPr>
          <w:rFonts w:ascii="Arial" w:hAnsi="Arial" w:cs="Arial"/>
          <w:sz w:val="20"/>
          <w:szCs w:val="20"/>
        </w:rPr>
        <w:t xml:space="preserve"> 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0" w:name="Par22"/>
      <w:bookmarkEnd w:id="10"/>
      <w:r>
        <w:rPr>
          <w:rFonts w:ascii="Arial" w:hAnsi="Arial" w:cs="Arial"/>
          <w:sz w:val="20"/>
          <w:szCs w:val="20"/>
        </w:rPr>
        <w:t>11) воинским частям, военным учреждениям и организациям, правоохранительным органам;</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благотворительным и религиозным организациям, а также учрежденным ими организациям;</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анонимным жертвователям. </w:t>
      </w:r>
      <w:proofErr w:type="gramStart"/>
      <w:r>
        <w:rPr>
          <w:rFonts w:ascii="Arial" w:hAnsi="Arial" w:cs="Arial"/>
          <w:sz w:val="20"/>
          <w:szCs w:val="20"/>
        </w:rPr>
        <w:t xml:space="preserve">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w:t>
      </w:r>
      <w:r>
        <w:rPr>
          <w:rFonts w:ascii="Arial" w:hAnsi="Arial" w:cs="Arial"/>
          <w:sz w:val="20"/>
          <w:szCs w:val="20"/>
        </w:rPr>
        <w:lastRenderedPageBreak/>
        <w:t>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roofErr w:type="gramEnd"/>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1" w:name="Par25"/>
      <w:bookmarkEnd w:id="11"/>
      <w:r>
        <w:rPr>
          <w:rFonts w:ascii="Arial" w:hAnsi="Arial" w:cs="Arial"/>
          <w:sz w:val="20"/>
          <w:szCs w:val="20"/>
        </w:rPr>
        <w:t>14) юридическим лицам, зарегистрированным менее чем за один год до дня голосования на муниципальных выборах, а также некоммерческим организациям, выполняющим функции иностранного агента;</w:t>
      </w:r>
    </w:p>
    <w:p w:rsidR="00307190" w:rsidRDefault="00307190" w:rsidP="003071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Закона</w:t>
        </w:r>
      </w:hyperlink>
      <w:r>
        <w:rPr>
          <w:rFonts w:ascii="Arial" w:hAnsi="Arial" w:cs="Arial"/>
          <w:sz w:val="20"/>
          <w:szCs w:val="20"/>
        </w:rPr>
        <w:t xml:space="preserve"> Иркутской области от 30.04.2015 N 25-ОЗ)</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2" w:name="Par27"/>
      <w:bookmarkEnd w:id="12"/>
      <w:r>
        <w:rPr>
          <w:rFonts w:ascii="Arial" w:hAnsi="Arial" w:cs="Arial"/>
          <w:sz w:val="20"/>
          <w:szCs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Pr>
          <w:rFonts w:ascii="Arial" w:hAnsi="Arial" w:cs="Arial"/>
          <w:sz w:val="20"/>
          <w:szCs w:val="20"/>
        </w:rPr>
        <w:t>от</w:t>
      </w:r>
      <w:proofErr w:type="gramEnd"/>
      <w:r>
        <w:rPr>
          <w:rFonts w:ascii="Arial" w:hAnsi="Arial" w:cs="Arial"/>
          <w:sz w:val="20"/>
          <w:szCs w:val="20"/>
        </w:rPr>
        <w:t>:</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3" w:name="Par28"/>
      <w:bookmarkEnd w:id="13"/>
      <w:r>
        <w:rPr>
          <w:rFonts w:ascii="Arial" w:hAnsi="Arial" w:cs="Arial"/>
          <w:sz w:val="20"/>
          <w:szCs w:val="20"/>
        </w:rPr>
        <w:t xml:space="preserve">иностранных государств, а также от указанных в </w:t>
      </w:r>
      <w:hyperlink w:anchor="Par12" w:history="1">
        <w:r>
          <w:rPr>
            <w:rFonts w:ascii="Arial" w:hAnsi="Arial" w:cs="Arial"/>
            <w:color w:val="0000FF"/>
            <w:sz w:val="20"/>
            <w:szCs w:val="20"/>
          </w:rPr>
          <w:t>пунктах 1</w:t>
        </w:r>
      </w:hyperlink>
      <w:r>
        <w:rPr>
          <w:rFonts w:ascii="Arial" w:hAnsi="Arial" w:cs="Arial"/>
          <w:sz w:val="20"/>
          <w:szCs w:val="20"/>
        </w:rPr>
        <w:t xml:space="preserve"> - </w:t>
      </w:r>
      <w:hyperlink w:anchor="Par15" w:history="1">
        <w:r>
          <w:rPr>
            <w:rFonts w:ascii="Arial" w:hAnsi="Arial" w:cs="Arial"/>
            <w:color w:val="0000FF"/>
            <w:sz w:val="20"/>
            <w:szCs w:val="20"/>
          </w:rPr>
          <w:t>4</w:t>
        </w:r>
      </w:hyperlink>
      <w:r>
        <w:rPr>
          <w:rFonts w:ascii="Arial" w:hAnsi="Arial" w:cs="Arial"/>
          <w:sz w:val="20"/>
          <w:szCs w:val="20"/>
        </w:rPr>
        <w:t xml:space="preserve">, </w:t>
      </w:r>
      <w:hyperlink w:anchor="Par17" w:history="1">
        <w:r>
          <w:rPr>
            <w:rFonts w:ascii="Arial" w:hAnsi="Arial" w:cs="Arial"/>
            <w:color w:val="0000FF"/>
            <w:sz w:val="20"/>
            <w:szCs w:val="20"/>
          </w:rPr>
          <w:t>6</w:t>
        </w:r>
      </w:hyperlink>
      <w:r>
        <w:rPr>
          <w:rFonts w:ascii="Arial" w:hAnsi="Arial" w:cs="Arial"/>
          <w:sz w:val="20"/>
          <w:szCs w:val="20"/>
        </w:rPr>
        <w:t xml:space="preserve"> - </w:t>
      </w:r>
      <w:hyperlink w:anchor="Par19" w:history="1">
        <w:r>
          <w:rPr>
            <w:rFonts w:ascii="Arial" w:hAnsi="Arial" w:cs="Arial"/>
            <w:color w:val="0000FF"/>
            <w:sz w:val="20"/>
            <w:szCs w:val="20"/>
          </w:rPr>
          <w:t>8</w:t>
        </w:r>
      </w:hyperlink>
      <w:r>
        <w:rPr>
          <w:rFonts w:ascii="Arial" w:hAnsi="Arial" w:cs="Arial"/>
          <w:sz w:val="20"/>
          <w:szCs w:val="20"/>
        </w:rPr>
        <w:t xml:space="preserve">, </w:t>
      </w:r>
      <w:hyperlink w:anchor="Par22" w:history="1">
        <w:r>
          <w:rPr>
            <w:rFonts w:ascii="Arial" w:hAnsi="Arial" w:cs="Arial"/>
            <w:color w:val="0000FF"/>
            <w:sz w:val="20"/>
            <w:szCs w:val="20"/>
          </w:rPr>
          <w:t>11</w:t>
        </w:r>
      </w:hyperlink>
      <w:r>
        <w:rPr>
          <w:rFonts w:ascii="Arial" w:hAnsi="Arial" w:cs="Arial"/>
          <w:sz w:val="20"/>
          <w:szCs w:val="20"/>
        </w:rPr>
        <w:t xml:space="preserve"> - </w:t>
      </w:r>
      <w:hyperlink w:anchor="Par25" w:history="1">
        <w:r>
          <w:rPr>
            <w:rFonts w:ascii="Arial" w:hAnsi="Arial" w:cs="Arial"/>
            <w:color w:val="0000FF"/>
            <w:sz w:val="20"/>
            <w:szCs w:val="20"/>
          </w:rPr>
          <w:t>14</w:t>
        </w:r>
      </w:hyperlink>
      <w:r>
        <w:rPr>
          <w:rFonts w:ascii="Arial" w:hAnsi="Arial" w:cs="Arial"/>
          <w:sz w:val="20"/>
          <w:szCs w:val="20"/>
        </w:rPr>
        <w:t xml:space="preserve"> настоящей части органов, организаций или физических лиц;</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4" w:name="Par29"/>
      <w:bookmarkEnd w:id="14"/>
      <w:proofErr w:type="gramStart"/>
      <w:r>
        <w:rPr>
          <w:rFonts w:ascii="Arial" w:hAnsi="Arial" w:cs="Arial"/>
          <w:sz w:val="20"/>
          <w:szCs w:val="20"/>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5" w:name="Par30"/>
      <w:bookmarkEnd w:id="15"/>
      <w:proofErr w:type="gramStart"/>
      <w:r>
        <w:rPr>
          <w:rFonts w:ascii="Arial" w:hAnsi="Arial" w:cs="Arial"/>
          <w:sz w:val="20"/>
          <w:szCs w:val="20"/>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организаций, учрежденных юридическими лицами, указанными в </w:t>
      </w:r>
      <w:hyperlink w:anchor="Par29"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30" w:history="1">
        <w:r>
          <w:rPr>
            <w:rFonts w:ascii="Arial" w:hAnsi="Arial" w:cs="Arial"/>
            <w:color w:val="0000FF"/>
            <w:sz w:val="20"/>
            <w:szCs w:val="20"/>
          </w:rPr>
          <w:t>четвертом</w:t>
        </w:r>
      </w:hyperlink>
      <w:r>
        <w:rPr>
          <w:rFonts w:ascii="Arial" w:hAnsi="Arial" w:cs="Arial"/>
          <w:sz w:val="20"/>
          <w:szCs w:val="20"/>
        </w:rPr>
        <w:t xml:space="preserve"> настоящего пункта;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6" w:name="Par33"/>
      <w:bookmarkEnd w:id="16"/>
      <w:proofErr w:type="gramStart"/>
      <w:r>
        <w:rPr>
          <w:rFonts w:ascii="Arial" w:hAnsi="Arial" w:cs="Arial"/>
          <w:sz w:val="20"/>
          <w:szCs w:val="20"/>
        </w:rPr>
        <w:t xml:space="preserve">организаций, в уставном (складочном) капитале которых доля (вклад) юридических лиц, указанных в </w:t>
      </w:r>
      <w:hyperlink w:anchor="Par29"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30" w:history="1">
        <w:r>
          <w:rPr>
            <w:rFonts w:ascii="Arial" w:hAnsi="Arial" w:cs="Arial"/>
            <w:color w:val="0000FF"/>
            <w:sz w:val="20"/>
            <w:szCs w:val="20"/>
          </w:rPr>
          <w:t>четвертом</w:t>
        </w:r>
      </w:hyperlink>
      <w:r>
        <w:rPr>
          <w:rFonts w:ascii="Arial" w:hAnsi="Arial" w:cs="Arial"/>
          <w:sz w:val="20"/>
          <w:szCs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Некоммерческие организации, указанные в </w:t>
      </w:r>
      <w:hyperlink w:anchor="Par27" w:history="1">
        <w:r>
          <w:rPr>
            <w:rFonts w:ascii="Arial" w:hAnsi="Arial" w:cs="Arial"/>
            <w:color w:val="0000FF"/>
            <w:sz w:val="20"/>
            <w:szCs w:val="20"/>
          </w:rPr>
          <w:t>пункте 15 части 3</w:t>
        </w:r>
      </w:hyperlink>
      <w:r>
        <w:rPr>
          <w:rFonts w:ascii="Arial" w:hAnsi="Arial" w:cs="Arial"/>
          <w:sz w:val="20"/>
          <w:szCs w:val="20"/>
        </w:rP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28" w:history="1">
        <w:r>
          <w:rPr>
            <w:rFonts w:ascii="Arial" w:hAnsi="Arial" w:cs="Arial"/>
            <w:color w:val="0000FF"/>
            <w:sz w:val="20"/>
            <w:szCs w:val="20"/>
          </w:rPr>
          <w:t>абзацах втором</w:t>
        </w:r>
      </w:hyperlink>
      <w:r>
        <w:rPr>
          <w:rFonts w:ascii="Arial" w:hAnsi="Arial" w:cs="Arial"/>
          <w:sz w:val="20"/>
          <w:szCs w:val="20"/>
        </w:rPr>
        <w:t xml:space="preserve"> - </w:t>
      </w:r>
      <w:hyperlink w:anchor="Par33" w:history="1">
        <w:r>
          <w:rPr>
            <w:rFonts w:ascii="Arial" w:hAnsi="Arial" w:cs="Arial"/>
            <w:color w:val="0000FF"/>
            <w:sz w:val="20"/>
            <w:szCs w:val="20"/>
          </w:rPr>
          <w:t>седьмом пункта 15 части 3</w:t>
        </w:r>
      </w:hyperlink>
      <w:r>
        <w:rPr>
          <w:rFonts w:ascii="Arial" w:hAnsi="Arial" w:cs="Arial"/>
          <w:sz w:val="20"/>
          <w:szCs w:val="20"/>
        </w:rPr>
        <w:t xml:space="preserve"> настоящей</w:t>
      </w:r>
      <w:proofErr w:type="gramEnd"/>
      <w:r>
        <w:rPr>
          <w:rFonts w:ascii="Arial" w:hAnsi="Arial" w:cs="Arial"/>
          <w:sz w:val="20"/>
          <w:szCs w:val="20"/>
        </w:rPr>
        <w:t xml:space="preserve">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7" w:name="Par35"/>
      <w:bookmarkEnd w:id="17"/>
      <w:r>
        <w:rPr>
          <w:rFonts w:ascii="Arial" w:hAnsi="Arial" w:cs="Arial"/>
          <w:sz w:val="20"/>
          <w:szCs w:val="20"/>
        </w:rPr>
        <w:t>5. Добровольное пожертвование гражданина в избирательный фонд кандидата, избирательного объединения вносится на специальный избирательный счет соответствующего избирательного фонда через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bookmarkStart w:id="18" w:name="Par36"/>
      <w:bookmarkEnd w:id="18"/>
      <w:r>
        <w:rPr>
          <w:rFonts w:ascii="Arial" w:hAnsi="Arial" w:cs="Arial"/>
          <w:sz w:val="20"/>
          <w:szCs w:val="20"/>
        </w:rPr>
        <w:t xml:space="preserve">6.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соответствующего избирательного фонда.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1"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Добровольные пожертвования граждан и юридических лиц перечисляются (зачисляются) на специальный избирательный счет соответствующего избирательного фонда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 в пределах области.</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 </w:t>
      </w:r>
      <w:proofErr w:type="gramStart"/>
      <w:r>
        <w:rPr>
          <w:rFonts w:ascii="Arial" w:hAnsi="Arial" w:cs="Arial"/>
          <w:sz w:val="20"/>
          <w:szCs w:val="20"/>
        </w:rPr>
        <w:t xml:space="preserve">Если добровольное пожертвование внесено гражданином или юридическим лицом, не имеющими права осуществлять такое пожертвование, или в размере, превышающем максимальный размер такого пожертвования, предусмотренный </w:t>
      </w:r>
      <w:hyperlink w:anchor="Par2" w:history="1">
        <w:r>
          <w:rPr>
            <w:rFonts w:ascii="Arial" w:hAnsi="Arial" w:cs="Arial"/>
            <w:color w:val="0000FF"/>
            <w:sz w:val="20"/>
            <w:szCs w:val="20"/>
          </w:rPr>
          <w:t>частью 1</w:t>
        </w:r>
      </w:hyperlink>
      <w:r>
        <w:rPr>
          <w:rFonts w:ascii="Arial" w:hAnsi="Arial" w:cs="Arial"/>
          <w:sz w:val="20"/>
          <w:szCs w:val="20"/>
        </w:rPr>
        <w:t xml:space="preserve"> </w:t>
      </w:r>
      <w:r>
        <w:rPr>
          <w:rFonts w:ascii="Arial" w:hAnsi="Arial" w:cs="Arial"/>
          <w:sz w:val="20"/>
          <w:szCs w:val="20"/>
        </w:rPr>
        <w:lastRenderedPageBreak/>
        <w:t xml:space="preserve">или </w:t>
      </w:r>
      <w:hyperlink w:anchor="Par7" w:history="1">
        <w:r>
          <w:rPr>
            <w:rFonts w:ascii="Arial" w:hAnsi="Arial" w:cs="Arial"/>
            <w:color w:val="0000FF"/>
            <w:sz w:val="20"/>
            <w:szCs w:val="20"/>
          </w:rPr>
          <w:t>2</w:t>
        </w:r>
      </w:hyperlink>
      <w:r>
        <w:rPr>
          <w:rFonts w:ascii="Arial" w:hAnsi="Arial" w:cs="Arial"/>
          <w:sz w:val="20"/>
          <w:szCs w:val="20"/>
        </w:rPr>
        <w:t xml:space="preserve"> настоящей статьи, либо с нарушением требований </w:t>
      </w:r>
      <w:hyperlink w:anchor="Par35" w:history="1">
        <w:r>
          <w:rPr>
            <w:rFonts w:ascii="Arial" w:hAnsi="Arial" w:cs="Arial"/>
            <w:color w:val="0000FF"/>
            <w:sz w:val="20"/>
            <w:szCs w:val="20"/>
          </w:rPr>
          <w:t>частей 5</w:t>
        </w:r>
      </w:hyperlink>
      <w:r>
        <w:rPr>
          <w:rFonts w:ascii="Arial" w:hAnsi="Arial" w:cs="Arial"/>
          <w:sz w:val="20"/>
          <w:szCs w:val="20"/>
        </w:rPr>
        <w:t xml:space="preserve">, </w:t>
      </w:r>
      <w:hyperlink w:anchor="Par36" w:history="1">
        <w:r>
          <w:rPr>
            <w:rFonts w:ascii="Arial" w:hAnsi="Arial" w:cs="Arial"/>
            <w:color w:val="0000FF"/>
            <w:sz w:val="20"/>
            <w:szCs w:val="20"/>
          </w:rPr>
          <w:t>6</w:t>
        </w:r>
      </w:hyperlink>
      <w:r>
        <w:rPr>
          <w:rFonts w:ascii="Arial" w:hAnsi="Arial" w:cs="Arial"/>
          <w:sz w:val="20"/>
          <w:szCs w:val="20"/>
        </w:rPr>
        <w:t xml:space="preserve"> настоящей статьи, кандидат, избирательное объединение обязаны не позднее чем через десять дней со дня поступления указанного пожертвования возвратить его жертвователю в полном объеме или</w:t>
      </w:r>
      <w:proofErr w:type="gramEnd"/>
      <w:r>
        <w:rPr>
          <w:rFonts w:ascii="Arial" w:hAnsi="Arial" w:cs="Arial"/>
          <w:sz w:val="20"/>
          <w:szCs w:val="20"/>
        </w:rPr>
        <w:t xml:space="preserve"> ту его часть, которая превышает установленный максимальный размер добровольного пожертвования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переводе которых жертвователи указали сведения, предусмотренные </w:t>
      </w:r>
      <w:hyperlink w:anchor="Par35" w:history="1">
        <w:r>
          <w:rPr>
            <w:rFonts w:ascii="Arial" w:hAnsi="Arial" w:cs="Arial"/>
            <w:color w:val="0000FF"/>
            <w:sz w:val="20"/>
            <w:szCs w:val="20"/>
          </w:rPr>
          <w:t>частями 5</w:t>
        </w:r>
      </w:hyperlink>
      <w:r>
        <w:rPr>
          <w:rFonts w:ascii="Arial" w:hAnsi="Arial" w:cs="Arial"/>
          <w:sz w:val="20"/>
          <w:szCs w:val="20"/>
        </w:rPr>
        <w:t xml:space="preserve">, </w:t>
      </w:r>
      <w:hyperlink w:anchor="Par36" w:history="1">
        <w:r>
          <w:rPr>
            <w:rFonts w:ascii="Arial" w:hAnsi="Arial" w:cs="Arial"/>
            <w:color w:val="0000FF"/>
            <w:sz w:val="20"/>
            <w:szCs w:val="20"/>
          </w:rPr>
          <w:t>6</w:t>
        </w:r>
      </w:hyperlink>
      <w:r>
        <w:rPr>
          <w:rFonts w:ascii="Arial" w:hAnsi="Arial" w:cs="Arial"/>
          <w:sz w:val="20"/>
          <w:szCs w:val="20"/>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07190" w:rsidRDefault="00307190" w:rsidP="003071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Пожертвования, внесенные анонимными жертвователями, не позднее чем через десять дней со дня их поступления на специальный избирательный счет подлежат перечислению кандидатом, избирательным объединением в доход соответствующего местного бюджета.</w:t>
      </w:r>
    </w:p>
    <w:p w:rsidR="001E2D63" w:rsidRDefault="001E2D63">
      <w:bookmarkStart w:id="19" w:name="_GoBack"/>
      <w:bookmarkEnd w:id="19"/>
    </w:p>
    <w:sectPr w:rsidR="001E2D63" w:rsidSect="00950CF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39"/>
    <w:rsid w:val="001E2D63"/>
    <w:rsid w:val="00307190"/>
    <w:rsid w:val="0067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82FC788BD4D4AF263FF5AE7D3FD3C0864E3EFC427304A5F1F6D91ED556C65FBEC1D28E9F453733B1B20B0r122D" TargetMode="External"/><Relationship Id="rId13" Type="http://schemas.openxmlformats.org/officeDocument/2006/relationships/hyperlink" Target="consultantplus://offline/ref=2CB82FC788BD4D4AF263FF5AE7D3FD3C0864E3EFC427304A5F1F6D91ED556C65FBEC1D28E9F453733B1A22B4r127D" TargetMode="External"/><Relationship Id="rId3" Type="http://schemas.openxmlformats.org/officeDocument/2006/relationships/settings" Target="settings.xml"/><Relationship Id="rId7" Type="http://schemas.openxmlformats.org/officeDocument/2006/relationships/hyperlink" Target="consultantplus://offline/ref=2CB82FC788BD4D4AF263FF5AE7D3FD3C0864E3EFC427304A5F1F6D91ED556C65FBEC1D28E9F453733B1B20B0r122D" TargetMode="External"/><Relationship Id="rId12" Type="http://schemas.openxmlformats.org/officeDocument/2006/relationships/hyperlink" Target="consultantplus://offline/ref=2CB82FC788BD4D4AF263FF5AE7D3FD3C0864E3EFC427304A5F1F6D91ED556C65FBEC1D28E9F453733B1B20B0r122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B82FC788BD4D4AF263FF5AE7D3FD3C0864E3EFC427304A5F1F6D91ED556C65FBEC1D28E9F453733B1B20B0r122D" TargetMode="External"/><Relationship Id="rId11" Type="http://schemas.openxmlformats.org/officeDocument/2006/relationships/hyperlink" Target="consultantplus://offline/ref=2CB82FC788BD4D4AF263FF5AE7D3FD3C0864E3EFC427304A5F1F6D91ED556C65FBEC1D28E9F453733B1B20B0r122D" TargetMode="External"/><Relationship Id="rId5" Type="http://schemas.openxmlformats.org/officeDocument/2006/relationships/hyperlink" Target="consultantplus://offline/ref=25C092A378FE8333ADF700B3F1F12695CDED6425474E80DC1B4E9FE76F94BE588056CA1F40340078967F06E6Z311D" TargetMode="External"/><Relationship Id="rId15" Type="http://schemas.openxmlformats.org/officeDocument/2006/relationships/fontTable" Target="fontTable.xml"/><Relationship Id="rId10" Type="http://schemas.openxmlformats.org/officeDocument/2006/relationships/hyperlink" Target="consultantplus://offline/ref=2CB82FC788BD4D4AF263FF5AE7D3FD3C0864E3EFC427304A5F1F6D91ED556C65FBEC1D28E9F453733B1B20B0r122D" TargetMode="External"/><Relationship Id="rId4" Type="http://schemas.openxmlformats.org/officeDocument/2006/relationships/webSettings" Target="webSettings.xml"/><Relationship Id="rId9" Type="http://schemas.openxmlformats.org/officeDocument/2006/relationships/hyperlink" Target="consultantplus://offline/ref=2CB82FC788BD4D4AF263FF5AE7D3FD3C0864E3EFC427304A5F1F6D91ED556C65FBEC1D28E9F453733B1B20B0r122D" TargetMode="External"/><Relationship Id="rId14" Type="http://schemas.openxmlformats.org/officeDocument/2006/relationships/hyperlink" Target="consultantplus://offline/ref=2CB82FC788BD4D4AF263FF5AE7D3FD3C0864E3EFC424314B521D6D91ED556C65FBEC1D28E9F453733B1A23B3r12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2465</Words>
  <Characters>14052</Characters>
  <Application>Microsoft Office Word</Application>
  <DocSecurity>0</DocSecurity>
  <Lines>117</Lines>
  <Paragraphs>32</Paragraphs>
  <ScaleCrop>false</ScaleCrop>
  <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2</cp:revision>
  <dcterms:created xsi:type="dcterms:W3CDTF">2017-06-23T03:53:00Z</dcterms:created>
  <dcterms:modified xsi:type="dcterms:W3CDTF">2017-06-23T03:54:00Z</dcterms:modified>
</cp:coreProperties>
</file>