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E06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65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806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E06532">
              <w:rPr>
                <w:b/>
                <w:sz w:val="28"/>
                <w:szCs w:val="28"/>
              </w:rPr>
              <w:t>3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</w:t>
            </w:r>
            <w:r w:rsidR="00EF7C0C">
              <w:rPr>
                <w:b/>
                <w:sz w:val="28"/>
                <w:szCs w:val="28"/>
              </w:rPr>
              <w:t>2</w:t>
            </w:r>
            <w:r w:rsidR="005806A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5806A8">
        <w:rPr>
          <w:b/>
          <w:bCs/>
          <w:sz w:val="28"/>
          <w:szCs w:val="28"/>
        </w:rPr>
        <w:t>Толпыго Евгению Леонидовичу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5806A8">
        <w:rPr>
          <w:sz w:val="28"/>
          <w:szCs w:val="28"/>
        </w:rPr>
        <w:t>Толпыго Евгения Леонидовича</w:t>
      </w:r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</w:t>
      </w:r>
      <w:proofErr w:type="gramEnd"/>
      <w:r w:rsidR="00A763E4">
        <w:rPr>
          <w:sz w:val="28"/>
          <w:szCs w:val="28"/>
        </w:rPr>
        <w:t xml:space="preserve">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5806A8">
        <w:rPr>
          <w:sz w:val="28"/>
          <w:szCs w:val="28"/>
        </w:rPr>
        <w:t>Толпыго Е.Л.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EF7C0C">
        <w:rPr>
          <w:sz w:val="28"/>
          <w:szCs w:val="28"/>
        </w:rPr>
        <w:t>2</w:t>
      </w:r>
      <w:r w:rsidR="005806A8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6740F2">
        <w:rPr>
          <w:sz w:val="28"/>
          <w:szCs w:val="28"/>
        </w:rPr>
        <w:t>Толпыго Е.Л.</w:t>
      </w:r>
      <w:r w:rsidR="00EF7C0C">
        <w:rPr>
          <w:sz w:val="28"/>
          <w:szCs w:val="28"/>
        </w:rPr>
        <w:t xml:space="preserve">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02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EF7C0C">
        <w:rPr>
          <w:sz w:val="28"/>
          <w:szCs w:val="28"/>
        </w:rPr>
        <w:t>2</w:t>
      </w:r>
      <w:r w:rsidR="006740F2">
        <w:rPr>
          <w:sz w:val="28"/>
          <w:szCs w:val="28"/>
        </w:rPr>
        <w:t>0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813B61">
        <w:rPr>
          <w:sz w:val="28"/>
          <w:szCs w:val="28"/>
        </w:rPr>
        <w:t>11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6740F2">
        <w:rPr>
          <w:sz w:val="28"/>
          <w:szCs w:val="28"/>
        </w:rPr>
        <w:t>55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 При этом число достоверных подписей составило </w:t>
      </w:r>
      <w:r w:rsidR="006740F2">
        <w:rPr>
          <w:sz w:val="28"/>
          <w:szCs w:val="28"/>
        </w:rPr>
        <w:t>9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6740F2">
        <w:rPr>
          <w:sz w:val="28"/>
          <w:szCs w:val="28"/>
        </w:rPr>
        <w:t>9</w:t>
      </w:r>
      <w:r w:rsidR="00A20D68">
        <w:rPr>
          <w:sz w:val="28"/>
          <w:szCs w:val="28"/>
        </w:rPr>
        <w:t>, 1</w:t>
      </w:r>
      <w:r w:rsidR="00182DEB">
        <w:rPr>
          <w:sz w:val="28"/>
          <w:szCs w:val="28"/>
        </w:rPr>
        <w:t>8</w:t>
      </w:r>
      <w:r w:rsidR="00A20D68">
        <w:rPr>
          <w:sz w:val="28"/>
          <w:szCs w:val="28"/>
        </w:rPr>
        <w:t xml:space="preserve">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r w:rsidR="006740F2">
        <w:rPr>
          <w:sz w:val="28"/>
          <w:szCs w:val="28"/>
        </w:rPr>
        <w:t>Толпыго Евгению Леонидовичу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F7C0C">
        <w:rPr>
          <w:bCs/>
          <w:spacing w:val="-4"/>
          <w:sz w:val="28"/>
          <w:szCs w:val="28"/>
        </w:rPr>
        <w:t>0</w:t>
      </w:r>
      <w:r w:rsidR="006740F2">
        <w:rPr>
          <w:bCs/>
          <w:spacing w:val="-4"/>
          <w:sz w:val="28"/>
          <w:szCs w:val="28"/>
        </w:rPr>
        <w:t>9</w:t>
      </w:r>
      <w:r w:rsidR="00182DEB">
        <w:rPr>
          <w:bCs/>
          <w:spacing w:val="-4"/>
          <w:sz w:val="28"/>
          <w:szCs w:val="28"/>
        </w:rPr>
        <w:t xml:space="preserve"> </w:t>
      </w:r>
      <w:r w:rsidR="00EF7C0C">
        <w:rPr>
          <w:bCs/>
          <w:spacing w:val="-4"/>
          <w:sz w:val="28"/>
          <w:szCs w:val="28"/>
        </w:rPr>
        <w:t>марта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6740F2">
        <w:rPr>
          <w:bCs/>
          <w:spacing w:val="-4"/>
          <w:sz w:val="28"/>
          <w:szCs w:val="28"/>
        </w:rPr>
        <w:t>80</w:t>
      </w:r>
      <w:r w:rsidR="00AC74EA">
        <w:rPr>
          <w:bCs/>
          <w:spacing w:val="-4"/>
          <w:sz w:val="28"/>
          <w:szCs w:val="28"/>
        </w:rPr>
        <w:t xml:space="preserve"> г., </w:t>
      </w:r>
      <w:r w:rsidR="006740F2">
        <w:rPr>
          <w:bCs/>
          <w:spacing w:val="-4"/>
          <w:sz w:val="28"/>
          <w:szCs w:val="28"/>
        </w:rPr>
        <w:t>индивидуальному предпринимателю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6740F2">
        <w:rPr>
          <w:sz w:val="28"/>
          <w:szCs w:val="28"/>
        </w:rPr>
        <w:t>му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A36506">
        <w:rPr>
          <w:bCs/>
          <w:spacing w:val="-4"/>
          <w:sz w:val="28"/>
          <w:szCs w:val="28"/>
        </w:rPr>
        <w:t>му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3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AF17A9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AF17A9">
        <w:rPr>
          <w:bCs/>
          <w:spacing w:val="-4"/>
          <w:sz w:val="28"/>
          <w:szCs w:val="28"/>
        </w:rPr>
        <w:t>38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6740F2">
        <w:rPr>
          <w:sz w:val="28"/>
          <w:szCs w:val="28"/>
        </w:rPr>
        <w:t xml:space="preserve">Толпыго Евгению Леонидовичу </w:t>
      </w:r>
      <w:r w:rsidR="00247106">
        <w:rPr>
          <w:bCs/>
          <w:spacing w:val="-4"/>
          <w:sz w:val="28"/>
          <w:szCs w:val="28"/>
        </w:rPr>
        <w:t xml:space="preserve">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4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AF17A9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AF17A9">
        <w:rPr>
          <w:bCs/>
          <w:spacing w:val="-4"/>
          <w:sz w:val="28"/>
          <w:szCs w:val="28"/>
        </w:rPr>
        <w:t>38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F2" w:rsidRDefault="006740F2" w:rsidP="00A26F23">
      <w:r>
        <w:separator/>
      </w:r>
    </w:p>
  </w:endnote>
  <w:endnote w:type="continuationSeparator" w:id="0">
    <w:p w:rsidR="006740F2" w:rsidRDefault="006740F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F2" w:rsidRDefault="006740F2" w:rsidP="00A26F23">
      <w:r>
        <w:separator/>
      </w:r>
    </w:p>
  </w:footnote>
  <w:footnote w:type="continuationSeparator" w:id="0">
    <w:p w:rsidR="006740F2" w:rsidRDefault="006740F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56D16"/>
    <w:rsid w:val="00564976"/>
    <w:rsid w:val="00566A6C"/>
    <w:rsid w:val="005806A8"/>
    <w:rsid w:val="005A137E"/>
    <w:rsid w:val="00625053"/>
    <w:rsid w:val="00634582"/>
    <w:rsid w:val="006740F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13B61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36506"/>
    <w:rsid w:val="00A72E6D"/>
    <w:rsid w:val="00A763E4"/>
    <w:rsid w:val="00AC36A2"/>
    <w:rsid w:val="00AC74EA"/>
    <w:rsid w:val="00AF17A9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22C94"/>
    <w:rsid w:val="00E36031"/>
    <w:rsid w:val="00E46674"/>
    <w:rsid w:val="00E76792"/>
    <w:rsid w:val="00EB06A8"/>
    <w:rsid w:val="00EB694A"/>
    <w:rsid w:val="00ED418A"/>
    <w:rsid w:val="00EF6A45"/>
    <w:rsid w:val="00EF7C0C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2CC8-A040-47B8-B6ED-B13C5F6F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2017-08-03T09:45:00Z</cp:lastPrinted>
  <dcterms:created xsi:type="dcterms:W3CDTF">2017-08-03T03:47:00Z</dcterms:created>
  <dcterms:modified xsi:type="dcterms:W3CDTF">2017-08-03T09:46:00Z</dcterms:modified>
</cp:coreProperties>
</file>