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C" w:rsidRPr="006303B3" w:rsidRDefault="00F43B4C" w:rsidP="00F43B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 30</w:t>
      </w:r>
      <w:r w:rsidRPr="006303B3">
        <w:rPr>
          <w:rFonts w:ascii="Times New Roman" w:hAnsi="Times New Roman" w:cs="Times New Roman"/>
          <w:b/>
          <w:sz w:val="28"/>
          <w:szCs w:val="28"/>
        </w:rPr>
        <w:t xml:space="preserve"> Федеральный закон от 12.06.2002 N 67-ФЗ</w:t>
      </w:r>
    </w:p>
    <w:p w:rsidR="004C196B" w:rsidRPr="00F43B4C" w:rsidRDefault="00F43B4C" w:rsidP="00F43B4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303B3">
        <w:rPr>
          <w:rFonts w:ascii="Times New Roman" w:hAnsi="Times New Roman" w:cs="Times New Roman"/>
          <w:b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b/>
          <w:sz w:val="28"/>
          <w:szCs w:val="28"/>
        </w:rPr>
        <w:t>ме граждан Российской Федерации»</w:t>
      </w:r>
    </w:p>
    <w:p w:rsidR="004C196B" w:rsidRPr="00F43B4C" w:rsidRDefault="00E1441B" w:rsidP="00F43B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Start w:id="1" w:name="Par12"/>
      <w:bookmarkEnd w:id="0"/>
      <w:bookmarkEnd w:id="1"/>
      <w:r w:rsidRPr="00F43B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196B" w:rsidRPr="00F43B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C196B" w:rsidRPr="00F43B4C">
        <w:rPr>
          <w:rFonts w:ascii="Times New Roman" w:hAnsi="Times New Roman" w:cs="Times New Roman"/>
          <w:sz w:val="28"/>
          <w:szCs w:val="28"/>
        </w:rPr>
        <w:t xml:space="preserve">С момента начала работы участковой комиссии в день голосования, а также в дни досрочного голосования и до получения сообщения о принятии вышестоящей комиссией протокола об итогах голосования, а равно при повторном подсчете голосов избирателей, участников референдума на избирательных участках, участках референдума вправе присутствовать лица, указанные в </w:t>
      </w:r>
      <w:hyperlink w:anchor="Par2" w:history="1">
        <w:r w:rsidR="004C196B"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="004C196B" w:rsidRPr="00F43B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 w:rsidR="004C196B" w:rsidRPr="00F43B4C">
          <w:rPr>
            <w:rFonts w:ascii="Times New Roman" w:hAnsi="Times New Roman" w:cs="Times New Roman"/>
            <w:color w:val="0000FF"/>
            <w:sz w:val="28"/>
            <w:szCs w:val="28"/>
          </w:rPr>
          <w:t>1.2</w:t>
        </w:r>
      </w:hyperlink>
      <w:r w:rsidR="004C196B" w:rsidRPr="00F43B4C">
        <w:rPr>
          <w:rFonts w:ascii="Times New Roman" w:hAnsi="Times New Roman" w:cs="Times New Roman"/>
          <w:sz w:val="28"/>
          <w:szCs w:val="28"/>
        </w:rPr>
        <w:t xml:space="preserve"> настоящей статьи, а также наблюдатели, иностранные (международные) наблюдатели.</w:t>
      </w:r>
      <w:proofErr w:type="gramEnd"/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F43B4C">
        <w:rPr>
          <w:rFonts w:ascii="Times New Roman" w:hAnsi="Times New Roman" w:cs="Times New Roman"/>
          <w:b/>
          <w:sz w:val="28"/>
          <w:szCs w:val="28"/>
        </w:rPr>
        <w:t>4. При проведении выборов наблюдателя может назначить зарегистрированный кандидат,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список кандидатов</w:t>
      </w:r>
      <w:r w:rsidRPr="00F43B4C">
        <w:rPr>
          <w:rFonts w:ascii="Times New Roman" w:hAnsi="Times New Roman" w:cs="Times New Roman"/>
          <w:sz w:val="28"/>
          <w:szCs w:val="28"/>
        </w:rPr>
        <w:t xml:space="preserve">. Законом может быть предусмотрена возможность назначения наблюдателей иными общественными объединениями. При проведении референдума наблюдателя может назначить инициативная группа по проведению референдума, общественное объединение, которое должно быть создано и зарегистрировано на уровне, соответствующем уровню референдума, или на более высоком уровне. </w:t>
      </w:r>
      <w:r w:rsidRPr="00F43B4C">
        <w:rPr>
          <w:rFonts w:ascii="Times New Roman" w:hAnsi="Times New Roman" w:cs="Times New Roman"/>
          <w:b/>
          <w:sz w:val="28"/>
          <w:szCs w:val="28"/>
        </w:rPr>
        <w:t>Политическая партия, иное общественное объединение, зарегистрированный кандидат или в случаях, предусмотренных федеральным законом, доверенное лицо зарегистрированного кандидата, а также инициативная группа по проведению референдума вправе назначить в каждую комиссию не более двух наблюдателей, которые имеют право поочередно осуществлять наблюдение в помещении для голосования, если иное не предусмотрено федеральным законом. Одно и то же лицо может быть назначено наблюдателем только в одну комиссию, если иное не предусмотрено федеральным законом.</w:t>
      </w:r>
      <w:r w:rsidRPr="00F43B4C">
        <w:rPr>
          <w:rFonts w:ascii="Times New Roman" w:hAnsi="Times New Roman" w:cs="Times New Roman"/>
          <w:sz w:val="28"/>
          <w:szCs w:val="28"/>
        </w:rPr>
        <w:t xml:space="preserve"> Федеральным законом может быть предусмотрено, что наблюдателем является гражданин Российской Федерации, обладающий активным избирательным правом.</w:t>
      </w:r>
    </w:p>
    <w:p w:rsidR="004C196B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4C">
        <w:rPr>
          <w:rFonts w:ascii="Times New Roman" w:hAnsi="Times New Roman" w:cs="Times New Roman"/>
          <w:sz w:val="28"/>
          <w:szCs w:val="28"/>
        </w:rPr>
        <w:t xml:space="preserve"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соответствии с </w:t>
      </w:r>
      <w:hyperlink r:id="rId6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29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настоящего Федерального</w:t>
      </w:r>
      <w:proofErr w:type="gramEnd"/>
      <w:r w:rsidRPr="00F43B4C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E16B18" w:rsidRDefault="00E16B18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B18" w:rsidRDefault="00E16B18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6B18" w:rsidRPr="00F43B4C" w:rsidRDefault="00E16B18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lastRenderedPageBreak/>
        <w:t>6. Наблюдатели, иностранные (международные) наблюдатели вправе присутствовать в иных комиссиях при проведении ими досрочного голосования, установлении итогов голосования, определении результатов выборов, составлении соответствующих протоколов об итогах голосования, о результатах выборов, а также при повторном подсчете голосов избирателей, участников референдума.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F43B4C">
        <w:rPr>
          <w:rFonts w:ascii="Times New Roman" w:hAnsi="Times New Roman" w:cs="Times New Roman"/>
          <w:sz w:val="28"/>
          <w:szCs w:val="28"/>
        </w:rPr>
        <w:t xml:space="preserve">7. Полномочия наблюдателя должны быть удостоверены в направлении в письменной форме, выданном зарегистрированным кандидатом или его доверенным лицом, избирательным объединением, общественным объединением, инициативной группой по проведению референдума, </w:t>
      </w:r>
      <w:proofErr w:type="gramStart"/>
      <w:r w:rsidRPr="00F43B4C"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 w:rsidRPr="00F43B4C">
        <w:rPr>
          <w:rFonts w:ascii="Times New Roman" w:hAnsi="Times New Roman" w:cs="Times New Roman"/>
          <w:sz w:val="28"/>
          <w:szCs w:val="28"/>
        </w:rPr>
        <w:t xml:space="preserve"> которых представляет данный наблюдатель. В направлении указываются фамилия, имя и отчество наблюдателя, адрес его места жительства, номер избирательного участка, участка референдума, наименование комиссии, куда наблюдатель направляется, а также делается запись об отсутствии ограничений, предусмотренных </w:t>
      </w:r>
      <w:hyperlink w:anchor="Par14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настоящей статьи. Указание каких-либо дополнительных сведений о наблюдателе, а в случае направления наблюдателя кандидатом, его доверенным лицом, инициативной группой по проведению референдума и проставление печати не требуются. Направление действительно при предъявлении паспорта или документа, заменяющего паспорт гражданина.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22"/>
      <w:bookmarkEnd w:id="4"/>
      <w:r w:rsidRPr="00F43B4C">
        <w:rPr>
          <w:rFonts w:ascii="Times New Roman" w:hAnsi="Times New Roman" w:cs="Times New Roman"/>
          <w:b/>
          <w:sz w:val="28"/>
          <w:szCs w:val="28"/>
        </w:rPr>
        <w:t xml:space="preserve">7.1. </w:t>
      </w:r>
      <w:proofErr w:type="gramStart"/>
      <w:r w:rsidRPr="00F43B4C">
        <w:rPr>
          <w:rFonts w:ascii="Times New Roman" w:hAnsi="Times New Roman" w:cs="Times New Roman"/>
          <w:b/>
          <w:sz w:val="28"/>
          <w:szCs w:val="28"/>
        </w:rPr>
        <w:t>Политическая партия, иное общественное объединение, зарегистрированный кандидат, инициативная группа по проведению референдума, назначившие наблюдателей в участковые комиссии, не позднее, чем за три дня до дня голосования (досрочного голосования) представляют список назначенных наблюдателей в соответствующую территориальную комиссию, а при проведении выборов в органы местного самоуправления, местного референдума - в соответствующую избирательную комиссию муниципального образования или иную предусмотренную законом комиссию, если иное не</w:t>
      </w:r>
      <w:proofErr w:type="gramEnd"/>
      <w:r w:rsidRPr="00F43B4C">
        <w:rPr>
          <w:rFonts w:ascii="Times New Roman" w:hAnsi="Times New Roman" w:cs="Times New Roman"/>
          <w:b/>
          <w:sz w:val="28"/>
          <w:szCs w:val="28"/>
        </w:rPr>
        <w:t xml:space="preserve"> установлено федеральным законом. В данном списке указываются фамилия, имя и отчество каждого наблюдателя, адрес его места жительства, номер избирательного участка, участка референдума, наименование комиссии, куда наблюдатель направляется.</w:t>
      </w:r>
    </w:p>
    <w:p w:rsidR="00F43B4C" w:rsidRPr="00F43B4C" w:rsidRDefault="004C196B" w:rsidP="00E16B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B4C">
        <w:rPr>
          <w:rFonts w:ascii="Times New Roman" w:hAnsi="Times New Roman" w:cs="Times New Roman"/>
          <w:b/>
          <w:sz w:val="28"/>
          <w:szCs w:val="28"/>
        </w:rPr>
        <w:t xml:space="preserve">8. Направление, указанное в </w:t>
      </w:r>
      <w:hyperlink w:anchor="Par20" w:history="1">
        <w:r w:rsidRPr="00F43B4C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пункте 7</w:t>
        </w:r>
      </w:hyperlink>
      <w:r w:rsidRPr="00F43B4C">
        <w:rPr>
          <w:rFonts w:ascii="Times New Roman" w:hAnsi="Times New Roman" w:cs="Times New Roman"/>
          <w:b/>
          <w:sz w:val="28"/>
          <w:szCs w:val="28"/>
        </w:rPr>
        <w:t xml:space="preserve"> настоящей статьи, должно быть представлено наблюдателем в комиссию, в которую он назначен, в день, предшествующий дню голосования (досрочного голосования), либо непосредственно в день голосования (досрочного голосования). В участковую комиссию направление может быть представлено только наблюдателем, указанным в списке, предусмотренном </w:t>
      </w:r>
      <w:hyperlink w:anchor="Par22" w:history="1">
        <w:r w:rsidRPr="00F43B4C">
          <w:rPr>
            <w:rFonts w:ascii="Times New Roman" w:hAnsi="Times New Roman" w:cs="Times New Roman"/>
            <w:b/>
            <w:color w:val="0000FF"/>
            <w:sz w:val="28"/>
            <w:szCs w:val="28"/>
          </w:rPr>
          <w:t>пунктом 7.1</w:t>
        </w:r>
      </w:hyperlink>
      <w:r w:rsidRPr="00F43B4C">
        <w:rPr>
          <w:rFonts w:ascii="Times New Roman" w:hAnsi="Times New Roman" w:cs="Times New Roman"/>
          <w:b/>
          <w:sz w:val="28"/>
          <w:szCs w:val="28"/>
        </w:rPr>
        <w:t xml:space="preserve"> настоящей статьи, если иное не установлено федеральным законом. Установление иных, кроме указанных в настоящем Федеральном законе, ограничений, касающихся присутствия наблюдателей в помещении для голосования, наблюдения за проведением голосования, подсчетом голосов избирателей, участников </w:t>
      </w:r>
      <w:r w:rsidRPr="00F43B4C">
        <w:rPr>
          <w:rFonts w:ascii="Times New Roman" w:hAnsi="Times New Roman" w:cs="Times New Roman"/>
          <w:b/>
          <w:sz w:val="28"/>
          <w:szCs w:val="28"/>
        </w:rPr>
        <w:lastRenderedPageBreak/>
        <w:t>референдума, составлением протоколов об итогах голосования, а также выдачи копий этих протоколов, не допускается.</w:t>
      </w:r>
      <w:bookmarkStart w:id="5" w:name="_GoBack"/>
      <w:bookmarkEnd w:id="5"/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9. Наблюдатели вправе: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а) знакомиться со списками избирателей, участников референдума, реестром выдачи открепительных удостоверений, находящимися в комиссии открепительными удостоверениями, реестром заявлений (обращений) о голосовании вне помещения для голосования;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 xml:space="preserve">б) находиться в помещении для голосования соответствующего избирательного участка, участка референдума в день голосования, а также в дни досрочного голосования в любое время в период, указанный в </w:t>
      </w:r>
      <w:hyperlink w:anchor="Par12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4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43B4C">
        <w:rPr>
          <w:rFonts w:ascii="Times New Roman" w:hAnsi="Times New Roman" w:cs="Times New Roman"/>
          <w:sz w:val="28"/>
          <w:szCs w:val="28"/>
        </w:rPr>
        <w:t>.1) наблюдать за выдачей бюллетеней избирателям, участникам референдума;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в) присутствовать при голосовании избирателей, участников референдума вне помещения для голосования;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4C">
        <w:rPr>
          <w:rFonts w:ascii="Times New Roman" w:hAnsi="Times New Roman" w:cs="Times New Roman"/>
          <w:sz w:val="28"/>
          <w:szCs w:val="28"/>
        </w:rPr>
        <w:t>г) наблюдать за подсчетом числа граждан, внесенных в списки избирателей, участников референдума, бюллетеней, выданных избирателям, участникам референдума, погашенных бюллетеней; наблюдать за подсчетом голосов избирателей, участников референдума на избирательном участке, участке референдума на расстоянии и в условиях, обеспечивающих им обозримость содержащихся в бюллетенях отметок избирателей, участников референдума; знакомиться с любым заполненным или незаполненным бюллетенем при подсчете голосов избирателей, участников референдума;</w:t>
      </w:r>
      <w:proofErr w:type="gramEnd"/>
      <w:r w:rsidRPr="00F43B4C">
        <w:rPr>
          <w:rFonts w:ascii="Times New Roman" w:hAnsi="Times New Roman" w:cs="Times New Roman"/>
          <w:sz w:val="28"/>
          <w:szCs w:val="28"/>
        </w:rPr>
        <w:t xml:space="preserve"> наблюдать за составлением комиссией протокола об итогах голосования и иных документов в период, указанный в </w:t>
      </w:r>
      <w:hyperlink w:anchor="Par12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д) обращаться к председателю участковой комиссии, а в случае его отсутствия к лицу, его замещающему, с предложениями и замечаниями по вопросам организации голосования;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е) знакомиться с протоколами соответствующей комиссии, нижестоящих комиссий об итогах голосования, о результатах выборов, референдума и приложенными к ним документами, получать от соответствующей комиссии заверенные копии указанных протоколов;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 xml:space="preserve">ж) носить нагрудный знак с обозначением своего статуса и указанием </w:t>
      </w:r>
      <w:proofErr w:type="gramStart"/>
      <w:r w:rsidRPr="00F43B4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43B4C">
        <w:rPr>
          <w:rFonts w:ascii="Times New Roman" w:hAnsi="Times New Roman" w:cs="Times New Roman"/>
          <w:sz w:val="28"/>
          <w:szCs w:val="28"/>
        </w:rPr>
        <w:t xml:space="preserve"> фамилии, имени и отчества, а также фамилии, имени и отчества зарегистрированного кандидата или наименования избирательного объединения, общественного объединения, направивших наблюдателя в комиссию. Законом может быть предусмотрено, что форма нагрудного знака устанавливается комиссией, организующей выборы, референдум;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lastRenderedPageBreak/>
        <w:t xml:space="preserve">з) обжаловать в порядке, установленном </w:t>
      </w:r>
      <w:hyperlink r:id="rId7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статьей 75</w:t>
        </w:r>
      </w:hyperlink>
      <w:r w:rsidRPr="00F43B4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действия (бездействие) комиссии в вышестоящую комиссию, избирательную комиссию субъекта Российской Федерации, Центральную избирательную комиссию Российской Федерации или в суд;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и) присутствовать при повторном подсчете голосов избирателей, участников референдума в соответствующих комиссиях;</w:t>
      </w:r>
    </w:p>
    <w:p w:rsidR="004C196B" w:rsidRPr="00F43B4C" w:rsidRDefault="004C196B" w:rsidP="00F43B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к) производить в помещении для голосования (с того места, которое определено председателем участковой комиссии) фот</w:t>
      </w:r>
      <w:proofErr w:type="gramStart"/>
      <w:r w:rsidRPr="00F43B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3B4C">
        <w:rPr>
          <w:rFonts w:ascii="Times New Roman" w:hAnsi="Times New Roman" w:cs="Times New Roman"/>
          <w:sz w:val="28"/>
          <w:szCs w:val="28"/>
        </w:rPr>
        <w:t xml:space="preserve"> и (или) видеосъемку, предварительно уведомив об этом председателя, заместителя председателя или секретаря участковой комиссии.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10. Наблюдатель не вправе: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а) выдавать избирателям, участникам референдума бюллетени;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б) расписываться за избирателя, участника референдума, в том числе по его просьбе, в получении бюллетеней;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в) заполнять за избирателя, участника референдума, в том числе по его просьбе, бюллетени;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г) предпринимать действия, нарушающие тайну голосования;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д) принимать непосредственное участие в проводимом членами комиссии с правом решающего голоса подсчете бюллетеней;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е) совершать действия, препятствующие работе комиссии;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ж) проводить агитацию среди избирателей, участников референдума;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B4C">
        <w:rPr>
          <w:rFonts w:ascii="Times New Roman" w:hAnsi="Times New Roman" w:cs="Times New Roman"/>
          <w:sz w:val="28"/>
          <w:szCs w:val="28"/>
        </w:rPr>
        <w:t>з) участвовать в принятии решений соответствующей комиссией.</w:t>
      </w:r>
    </w:p>
    <w:p w:rsidR="004C196B" w:rsidRPr="00F43B4C" w:rsidRDefault="004C196B" w:rsidP="004C19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F43B4C">
        <w:rPr>
          <w:rFonts w:ascii="Times New Roman" w:hAnsi="Times New Roman" w:cs="Times New Roman"/>
          <w:sz w:val="28"/>
          <w:szCs w:val="28"/>
        </w:rPr>
        <w:t xml:space="preserve">13. Иностранные (международные) наблюдатели получают разрешение на въезд в Российскую Федерацию в </w:t>
      </w:r>
      <w:hyperlink r:id="rId8" w:history="1">
        <w:r w:rsidRPr="00F43B4C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F43B4C">
        <w:rPr>
          <w:rFonts w:ascii="Times New Roman" w:hAnsi="Times New Roman" w:cs="Times New Roman"/>
          <w:sz w:val="28"/>
          <w:szCs w:val="28"/>
        </w:rPr>
        <w:t>, установленном федеральным законом, и при наличии приглашения органов государственной власти, комиссий, организующих выборы, референдум, аккредитуются Центральной избирательной комиссией Российской Федерации. Деятельность иностранных (международных) наблюдателей регулируется федеральным законом.</w:t>
      </w:r>
    </w:p>
    <w:p w:rsidR="00094E64" w:rsidRPr="00F43B4C" w:rsidRDefault="00094E64">
      <w:pPr>
        <w:rPr>
          <w:rFonts w:ascii="Times New Roman" w:hAnsi="Times New Roman" w:cs="Times New Roman"/>
          <w:sz w:val="28"/>
          <w:szCs w:val="28"/>
        </w:rPr>
      </w:pPr>
    </w:p>
    <w:sectPr w:rsidR="00094E64" w:rsidRPr="00F43B4C" w:rsidSect="00112B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F"/>
    <w:rsid w:val="00094E64"/>
    <w:rsid w:val="004C196B"/>
    <w:rsid w:val="00D6540F"/>
    <w:rsid w:val="00E1441B"/>
    <w:rsid w:val="00E16B18"/>
    <w:rsid w:val="00F4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368CC035B9E8ED1DF14B6D868C3FBC3540731F2F8BD6DF6F45F084D815F97F54788CB11631D3FADl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3368CC035B9E8ED1DF14B6D868C3FBC3570632F4F5BD6DF6F45F084D815F97F54788CB11621C3CADl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3368CC035B9E8ED1DF14B6D868C3FBC3570632F4F5BD6DF6F45F084D815F97F54788CB1161153AADl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1AE8-B3A9-4EC8-94E3-909B6579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4</cp:revision>
  <dcterms:created xsi:type="dcterms:W3CDTF">2017-08-26T04:38:00Z</dcterms:created>
  <dcterms:modified xsi:type="dcterms:W3CDTF">2019-08-13T04:51:00Z</dcterms:modified>
</cp:coreProperties>
</file>