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otnotes.xml" ContentType="application/vnd.openxmlformats-officedocument.wordprocessingml.foot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body>
    <w:p w14:paraId="00000005">
      <w:pPr>
        <w:spacing w:after="0" w:line="240" w:lineRule="auto"/>
        <w:ind w:firstLine="709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От «28» ноября 2024 г. № 20-Д</w:t>
      </w:r>
    </w:p>
    <w:p w14:paraId="00000006">
      <w:pPr>
        <w:spacing w:after="0" w:line="240" w:lineRule="auto"/>
        <w:ind w:firstLine="709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РОССИЙСКАЯ ФЕДЕРАЦИЯ</w:t>
      </w:r>
    </w:p>
    <w:p w14:paraId="00000007">
      <w:pPr>
        <w:spacing w:after="0" w:line="240" w:lineRule="auto"/>
        <w:ind w:firstLine="709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ИРКУТСКАЯ ОБЛАСТЬ</w:t>
      </w:r>
    </w:p>
    <w:p w14:paraId="00000008">
      <w:pPr>
        <w:spacing w:after="0" w:line="240" w:lineRule="auto"/>
        <w:ind w:firstLine="709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СЛЮДЯНСКИЙ МУНИЦИПАЛЬНЫЙ РАЙОН</w:t>
      </w:r>
    </w:p>
    <w:p w14:paraId="00000009">
      <w:pPr>
        <w:spacing w:after="0" w:line="240" w:lineRule="auto"/>
        <w:ind w:firstLine="709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ПОРТБАЙКАЛЬСКОЕ МУНИЦИПАЛЬНОЕ ОБРАЗОВАНИЕ</w:t>
      </w:r>
    </w:p>
    <w:p w14:paraId="0000000A">
      <w:pPr>
        <w:spacing w:after="0" w:line="240" w:lineRule="auto"/>
        <w:ind w:firstLine="709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ДУМА</w:t>
      </w:r>
    </w:p>
    <w:p w14:paraId="0000000B">
      <w:pPr>
        <w:spacing w:line="240" w:lineRule="auto"/>
        <w:jc w:val="center"/>
        <w:rPr>
          <w:rFonts w:ascii="Times New Roman" w:cs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cs="Times New Roman" w:eastAsia="Calibri" w:hAnsi="Times New Roman"/>
          <w:b/>
          <w:sz w:val="28"/>
          <w:szCs w:val="28"/>
          <w:lang w:eastAsia="en-US"/>
        </w:rPr>
        <w:t xml:space="preserve">           </w:t>
      </w:r>
      <w:r>
        <w:rPr>
          <w:rFonts w:ascii="Times New Roman" w:cs="Times New Roman" w:eastAsia="Calibri" w:hAnsi="Times New Roman"/>
          <w:b/>
          <w:sz w:val="28"/>
          <w:szCs w:val="28"/>
          <w:lang w:eastAsia="en-US"/>
        </w:rPr>
        <w:t>РЕШЕНИЕ</w:t>
      </w:r>
    </w:p>
    <w:p w14:paraId="0000000C">
      <w:pPr>
        <w:spacing w:after="0" w:line="240" w:lineRule="auto"/>
        <w:ind w:firstLine="709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 xml:space="preserve">Об установлении туристического налога на территории </w:t>
      </w:r>
      <w:r>
        <w:rPr>
          <w:rFonts w:ascii="Times New Roman" w:cs="Times New Roman" w:hAnsi="Times New Roman"/>
          <w:b/>
          <w:bCs/>
          <w:sz w:val="28"/>
          <w:szCs w:val="28"/>
        </w:rPr>
        <w:t>Портбайкальского муниципального образования</w:t>
      </w:r>
    </w:p>
    <w:p w14:paraId="0000000D">
      <w:pPr>
        <w:spacing w:after="0" w:line="240" w:lineRule="auto"/>
        <w:ind w:firstLine="709"/>
        <w:jc w:val="center"/>
        <w:rPr>
          <w:rFonts w:ascii="Times New Roman" w:cs="Times New Roman" w:hAnsi="Times New Roman"/>
          <w:b/>
          <w:bCs/>
          <w:sz w:val="28"/>
          <w:szCs w:val="28"/>
        </w:rPr>
      </w:pPr>
    </w:p>
    <w:p w14:paraId="0000000E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В соответствии с главой 33.1 Налогового Кодекса Российской Федерации, </w:t>
      </w:r>
      <w:r>
        <w:rPr>
          <w:rFonts w:ascii="Times New Roman" w:cs="Times New Roman" w:hAnsi="Times New Roman"/>
          <w:sz w:val="28"/>
          <w:szCs w:val="28"/>
        </w:rPr>
        <w:t xml:space="preserve">Устава </w:t>
      </w:r>
      <w:r>
        <w:rPr>
          <w:rStyle w:val="Невступилвсилу"/>
          <w:rFonts w:ascii="Times New Roman" w:cs="Times New Roman" w:hAnsi="Times New Roman"/>
          <w:color w:val="auto"/>
          <w:sz w:val="28"/>
          <w:szCs w:val="28"/>
          <w:lang w:val="ru-RU"/>
        </w:rPr>
        <w:t>Портбайкальского муниципального образования, Дума Портбайкальского муниципального образования</w:t>
      </w:r>
    </w:p>
    <w:p w14:paraId="0000000F">
      <w:pPr>
        <w:spacing w:after="0" w:line="240" w:lineRule="auto"/>
        <w:ind w:firstLine="709"/>
        <w:jc w:val="both"/>
        <w:rPr>
          <w:rStyle w:val="Невступилвсилу"/>
          <w:rFonts w:ascii="Times New Roman" w:cs="Times New Roman" w:hAnsi="Times New Roman"/>
          <w:color w:val="auto"/>
          <w:sz w:val="28"/>
          <w:szCs w:val="28"/>
          <w:lang w:val="ru-RU"/>
        </w:rPr>
      </w:pPr>
      <w:r>
        <w:rPr>
          <w:rStyle w:val="Невступилвсилу"/>
          <w:rFonts w:ascii="Times New Roman" w:cs="Times New Roman" w:hAnsi="Times New Roman"/>
          <w:color w:val="auto"/>
          <w:sz w:val="28"/>
          <w:szCs w:val="28"/>
          <w:lang w:val="ru-RU"/>
        </w:rPr>
        <w:t>РЕШИЛ</w:t>
      </w:r>
      <w:r>
        <w:rPr>
          <w:rStyle w:val="Невступилвсилу"/>
          <w:rFonts w:ascii="Times New Roman" w:cs="Times New Roman" w:hAnsi="Times New Roman"/>
          <w:color w:val="auto"/>
          <w:sz w:val="28"/>
          <w:szCs w:val="28"/>
          <w:lang w:val="ru-RU"/>
        </w:rPr>
        <w:t>А</w:t>
      </w:r>
      <w:r>
        <w:rPr>
          <w:rStyle w:val="Невступилвсилу"/>
          <w:rFonts w:ascii="Times New Roman" w:cs="Times New Roman" w:hAnsi="Times New Roman"/>
          <w:color w:val="auto"/>
          <w:sz w:val="28"/>
          <w:szCs w:val="28"/>
          <w:lang w:val="ru-RU"/>
        </w:rPr>
        <w:t>:</w:t>
      </w:r>
    </w:p>
    <w:p w14:paraId="00000010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 xml:space="preserve">1. Установить туристический налог на территории </w:t>
      </w:r>
      <w:r>
        <w:rPr>
          <w:rFonts w:ascii="Times New Roman" w:cs="Times New Roman" w:hAnsi="Times New Roman"/>
          <w:sz w:val="28"/>
          <w:szCs w:val="28"/>
          <w:lang w:eastAsia="en-US"/>
        </w:rPr>
        <w:t>Портбайкальского муниципального образования</w:t>
      </w:r>
      <w:r>
        <w:rPr>
          <w:rFonts w:ascii="Times New Roman" w:cs="Times New Roman" w:hAnsi="Times New Roman"/>
          <w:sz w:val="28"/>
          <w:szCs w:val="28"/>
          <w:lang w:eastAsia="en-US"/>
        </w:rPr>
        <w:t>.</w:t>
      </w:r>
    </w:p>
    <w:p w14:paraId="00000011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2. Объектом налогообложения признается оказание услуг по предоставлению мест для временного проживания физических лиц в средствах размещения, принадлежащих налогоплательщику на праве собственности или на ином законном основании, расположенных на территории муниципального и включенных в реестр классифицированных средств размещения, предусмотренный Федеральным законом от 24 ноября 1996 года N 132-ФЗ "Об основах туристской деятельности в Российской Федерации".</w:t>
      </w:r>
    </w:p>
    <w:p w14:paraId="00000012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3. Налогоплательщиками налога признаются организации и физические лица, оказывающие услуги, признаваемые объектом налогообложения в соответствии с пунктом 2 настоящего Решения.</w:t>
      </w:r>
    </w:p>
    <w:p w14:paraId="00000013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4. Налоговая база определяется как стоимость оказываемой услуги по предоставлению мест для временного проживания физических лиц в средстве размещения (его части) (далее - услуга по временному проживанию) без учета сумм налога и налога на добавленную стоимость.</w:t>
      </w:r>
    </w:p>
    <w:p w14:paraId="00000014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При условии предоставления налогоплательщику документов, подтверждающих соответствующий статус физического лица, в налоговую базу не включается стоимость услуги по временному проживанию, оказываемой следующим категориям физических лиц:</w:t>
      </w:r>
    </w:p>
    <w:p w14:paraId="00000015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1) лица, удостоенные званий Героя Советского Союза, Героя Российской Федерации или являющиеся полными кавалерами ордена Славы;</w:t>
      </w:r>
    </w:p>
    <w:p w14:paraId="00000016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2) лица, удостоенные званий Героя Социалистического Труда, Героя Труда Российской Федерации или награжденные орденом Трудовой Славы трех степеней;</w:t>
      </w:r>
    </w:p>
    <w:p w14:paraId="00000017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3) участники и инвалиды Великой Отечественной войны;</w:t>
      </w:r>
    </w:p>
    <w:p w14:paraId="00000018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4) лица, принимающие (принимавшие) участие в специальной военной операции, лица, выполняющие (выполнявшие) возложенные на них задачи на территориях Украины, Донецкой Народной Республики, Луганской Народной Республики, Запорожской области и Херсонской области в период проведения специальной военной операции, указанные в пункте 6.1 статьи 210 НК РФ;</w:t>
      </w:r>
    </w:p>
    <w:p w14:paraId="00000019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5) ветераны и инвалиды боевых действий;</w:t>
      </w:r>
    </w:p>
    <w:p w14:paraId="0000001A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6) лица, награжденные знаком "Жителю блокадного Ленинграда", лица, награжденные знаком "Житель осажденного Севастополя", лица, награжденные знаком "Житель осажденного Сталинграда";</w:t>
      </w:r>
    </w:p>
    <w:p w14:paraId="0000001B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7) лица, работавшие в период Великой Отечественной войны на объектах противовоздушной обороны, местной противовоздушной обороны, на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дорог, а также члены экипажей судов транспортного флота, интернированных в начале Великой Отечественной войны в портах других государств;</w:t>
      </w:r>
    </w:p>
    <w:p w14:paraId="0000001C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8) инвалиды I и II групп, инвалиды с детства, дети-инвалиды.</w:t>
      </w:r>
    </w:p>
    <w:p w14:paraId="0000001D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 xml:space="preserve">5. Налоговые ставки устанавливаются в следующих размерах от налоговой базы: </w:t>
      </w:r>
    </w:p>
    <w:p w14:paraId="0000001E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- в 2025 году 1 процент;</w:t>
      </w:r>
    </w:p>
    <w:p w14:paraId="0000001F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- в 2026 году - 2 процента;</w:t>
      </w:r>
    </w:p>
    <w:p w14:paraId="00000020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-в 2027 году - 3 процента;</w:t>
      </w:r>
    </w:p>
    <w:p w14:paraId="00000021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- в 2028 году - 4 процента;</w:t>
      </w:r>
    </w:p>
    <w:p w14:paraId="00000022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- начиная с 2029 года - 5 процентов от налоговой базы.</w:t>
      </w:r>
    </w:p>
    <w:p w14:paraId="00000023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  <w:r>
        <w:rPr>
          <w:rFonts w:ascii="Times New Roman" w:cs="Times New Roman" w:hAnsi="Times New Roman"/>
          <w:sz w:val="28"/>
          <w:szCs w:val="28"/>
          <w:lang w:eastAsia="en-US"/>
        </w:rPr>
        <w:t>6.  Настоящее Решение вступает в силу с 1 января 2025 года, но не ранее, чем по истечении одного месяца со дня его официального опубликования.</w:t>
      </w:r>
    </w:p>
    <w:p w14:paraId="00000024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  <w:lang w:eastAsia="en-US"/>
        </w:rPr>
      </w:pPr>
    </w:p>
    <w:p w14:paraId="00000025">
      <w:pPr>
        <w:spacing w:after="0" w:line="240" w:lineRule="auto"/>
        <w:ind w:firstLine="709"/>
        <w:jc w:val="both"/>
        <w:rPr>
          <w:rStyle w:val="Невступилвсилу"/>
          <w:rFonts w:ascii="Times New Roman" w:cs="Times New Roman" w:hAnsi="Times New Roman"/>
          <w:color w:val="auto"/>
          <w:sz w:val="28"/>
          <w:szCs w:val="28"/>
          <w:lang w:val="ru-RU"/>
        </w:rPr>
      </w:pPr>
    </w:p>
    <w:p w14:paraId="00000026">
      <w:pPr>
        <w:pStyle w:val="BodyTextIndent3"/>
        <w:ind w:firstLine="709"/>
        <w:rPr>
          <w:rFonts w:ascii="Times New Roman" w:cs="Times New Roman" w:hAnsi="Times New Roman"/>
        </w:rPr>
      </w:pPr>
    </w:p>
    <w:p w14:paraId="00000027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Председатель Думы</w:t>
      </w:r>
    </w:p>
    <w:p w14:paraId="00000028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Портбайкальского сельского поселения                          Н.И. Симакова</w:t>
      </w:r>
    </w:p>
    <w:p w14:paraId="00000029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</w:p>
    <w:p w14:paraId="0000002A">
      <w:pPr>
        <w:spacing w:after="0" w:line="240" w:lineRule="auto"/>
        <w:ind w:firstLine="709"/>
        <w:jc w:val="both"/>
        <w:rPr>
          <w:rFonts w:ascii="Times New Roman" w:cs="Times New Roman" w:hAnsi="Times New Roman"/>
          <w:sz w:val="28"/>
          <w:szCs w:val="28"/>
        </w:rPr>
      </w:pPr>
    </w:p>
    <w:sectPr>
      <w:headerReference w:type="default" r:id="rId10"/>
      <w:pgSz w:w="11906" w:h="16838"/>
      <w:pgMar w:top="1134" w:right="567" w:bottom="1134" w:left="1134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endnote w:type="separator" w:id="0">
    <w:p w14:paraId="00000003">
      <w:pPr>
        <w:spacing w:after="0" w:line="240" w:lineRule="auto"/>
        <w:rPr/>
      </w:pPr>
      <w:r>
        <w:rPr/>
        <w:separator/>
      </w:r>
    </w:p>
  </w:endnote>
  <w:endnote w:type="continuationSeparator" w:id="1">
    <w:p w14:paraId="00000004">
      <w:pPr>
        <w:spacing w:after="0" w:line="240" w:lineRule="auto"/>
        <w:rPr/>
      </w:pPr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Verdana">
    <w:panose1 w:val="020b0604030504040204"/>
    <w:charset w:val="cc"/>
    <w:family w:val="swiss"/>
    <w:pitch w:val="variable"/>
    <w:sig w:usb0="00000000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footnote w:type="separator" w:id="0">
    <w:p w14:paraId="00000001">
      <w:pPr>
        <w:spacing w:after="0" w:line="240" w:lineRule="auto"/>
        <w:rPr/>
      </w:pPr>
      <w:r>
        <w:rPr/>
        <w:separator/>
      </w:r>
    </w:p>
  </w:footnote>
  <w:footnote w:type="continuationSeparator" w:id="1">
    <w:p w14:paraId="00000002">
      <w:pPr>
        <w:spacing w:after="0" w:line="240" w:lineRule="auto"/>
        <w:rPr/>
      </w:pPr>
      <w:r>
        <w:rPr/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xmlns:a="http://schemas.openxmlformats.org/drawingml/2006/main" xmlns:wps="http://schemas.microsoft.com/office/word/2010/wordprocessingShape" xmlns:wpg="http://schemas.microsoft.com/office/word/2010/wordprocessingGroup" xmlns:wp14="http://schemas.microsoft.com/office/word/2010/wordprocessingDrawing" xmlns:w14="http://schemas.microsoft.com/office/word/2010/wordml" xmlns:wpi="http://schemas.microsoft.com/office/word/2010/wordprocessingInk" xmlns:aink="http://schemas.microsoft.com/office/drawing/2016/ink" xmlns:dgm="http://schemas.openxmlformats.org/drawingml/2006/diagram">
  <w:p w14:paraId="0000002B">
    <w:pPr>
      <w:pStyle w:val="Header"/>
      <w:framePr w:hAnchor="margin" w:vAnchor="text" w:wrap="auto" w:xAlign="center" w:y="1"/>
      <w:rPr>
        <w:rStyle w:val="Pagenumber"/>
        <w:rFonts w:ascii="Times New Roman" w:cs="Times New Roman" w:hAnsi="Times New Roman"/>
        <w:sz w:val="28"/>
        <w:szCs w:val="28"/>
      </w:rPr>
    </w:pPr>
    <w:r>
      <w:fldChar w:fldCharType="begin"/>
    </w:r>
    <w:r>
      <w:instrText xml:space="preserve">PAGE  </w:instrText>
    </w:r>
    <w:r>
      <w:fldChar w:fldCharType="separate"/>
    </w:r>
    <w:r>
      <w:rPr>
        <w:rStyle w:val="Pagenumber"/>
        <w:rFonts w:ascii="Times New Roman" w:cs="Times New Roman" w:hAnsi="Times New Roman"/>
        <w:sz w:val="28"/>
        <w:szCs w:val="28"/>
      </w:rPr>
      <w:t>2</w:t>
    </w:r>
    <w:r>
      <w:fldChar w:fldCharType="end"/>
    </w:r>
  </w:p>
  <w:p w14:paraId="0000002C">
    <w:pPr>
      <w:pStyle w:val="Header"/>
      <w:rPr/>
    </w:pP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bullet"/>
      <w:lvlText w:val=""/>
      <w:lvlJc w:val="left"/>
      <w:pPr>
        <w:tabs>
          <w:tab w:val="num" w:pos="709"/>
        </w:tabs>
        <w:ind w:left="709" w:hanging="284"/>
      </w:pPr>
      <w:rPr>
        <w:rFonts w:ascii="Symbol" w:cs="Symbol" w:hAnsi="Symbol" w:hint="default"/>
        <w:color w:val="auto"/>
      </w:rPr>
    </w:lvl>
    <w:lvl w:ilvl="1" w:tentative="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defaultTabStop w:val="708"/>
  <w:doNotHyphenateCaps/>
  <w:characterSpacingControl w:val="doNotCompress"/>
  <w:doNotValidateAgainstSchema/>
  <w:doNotDemarcateInvalidXml/>
  <w:compat/>
  <w:rsids>
    <w:rsidRoot w:val="001F6AD8"/>
    <w:rsid w:val="00021D7A"/>
    <w:rsid w:val="00040FBF"/>
    <w:rsid w:val="00050C42"/>
    <w:rsid w:val="00053DF0"/>
    <w:rsid w:val="00054C4F"/>
    <w:rsid w:val="0006485C"/>
    <w:rsid w:val="00093FF7"/>
    <w:rsid w:val="000D1FAB"/>
    <w:rsid w:val="000E4E00"/>
    <w:rsid w:val="001004B0"/>
    <w:rsid w:val="00145E2E"/>
    <w:rsid w:val="001921C0"/>
    <w:rsid w:val="00193334"/>
    <w:rsid w:val="001939F8"/>
    <w:rsid w:val="001B4AEC"/>
    <w:rsid w:val="001F3E1C"/>
    <w:rsid w:val="001F65F5"/>
    <w:rsid w:val="001F6AD8"/>
    <w:rsid w:val="00201BAE"/>
    <w:rsid w:val="00202381"/>
    <w:rsid w:val="002104A9"/>
    <w:rsid w:val="00220E99"/>
    <w:rsid w:val="0024617F"/>
    <w:rsid w:val="00281B4E"/>
    <w:rsid w:val="00281FB9"/>
    <w:rsid w:val="002C720C"/>
    <w:rsid w:val="002F076B"/>
    <w:rsid w:val="003171AE"/>
    <w:rsid w:val="00345FED"/>
    <w:rsid w:val="00351DC2"/>
    <w:rsid w:val="003B62FB"/>
    <w:rsid w:val="00415F6B"/>
    <w:rsid w:val="00434B2E"/>
    <w:rsid w:val="0045069E"/>
    <w:rsid w:val="0045114E"/>
    <w:rsid w:val="00460CA0"/>
    <w:rsid w:val="00480DF7"/>
    <w:rsid w:val="0048106B"/>
    <w:rsid w:val="004B485C"/>
    <w:rsid w:val="004D4E39"/>
    <w:rsid w:val="004D57F6"/>
    <w:rsid w:val="004E56C0"/>
    <w:rsid w:val="0057631A"/>
    <w:rsid w:val="005815D0"/>
    <w:rsid w:val="005A51F7"/>
    <w:rsid w:val="005A6E80"/>
    <w:rsid w:val="005C6CDC"/>
    <w:rsid w:val="005C7E1D"/>
    <w:rsid w:val="005D6FA8"/>
    <w:rsid w:val="005F3884"/>
    <w:rsid w:val="005F5216"/>
    <w:rsid w:val="00601FC2"/>
    <w:rsid w:val="00612F3C"/>
    <w:rsid w:val="0062483F"/>
    <w:rsid w:val="006437B4"/>
    <w:rsid w:val="00695811"/>
    <w:rsid w:val="006D5186"/>
    <w:rsid w:val="006E15AD"/>
    <w:rsid w:val="006E54CD"/>
    <w:rsid w:val="00707F2B"/>
    <w:rsid w:val="0077104E"/>
    <w:rsid w:val="00773391"/>
    <w:rsid w:val="0077489B"/>
    <w:rsid w:val="0077489F"/>
    <w:rsid w:val="00776AFC"/>
    <w:rsid w:val="007B5C8A"/>
    <w:rsid w:val="007C2E14"/>
    <w:rsid w:val="007F0F31"/>
    <w:rsid w:val="007F3834"/>
    <w:rsid w:val="007F3F26"/>
    <w:rsid w:val="00813841"/>
    <w:rsid w:val="0083373B"/>
    <w:rsid w:val="0084118C"/>
    <w:rsid w:val="00854D0B"/>
    <w:rsid w:val="00864FCC"/>
    <w:rsid w:val="008851A8"/>
    <w:rsid w:val="008A3252"/>
    <w:rsid w:val="008A3BA1"/>
    <w:rsid w:val="008A5BEF"/>
    <w:rsid w:val="008C02BA"/>
    <w:rsid w:val="008D5EE6"/>
    <w:rsid w:val="008D640A"/>
    <w:rsid w:val="008E2044"/>
    <w:rsid w:val="008F475D"/>
    <w:rsid w:val="008F5840"/>
    <w:rsid w:val="008F6F28"/>
    <w:rsid w:val="00924508"/>
    <w:rsid w:val="00927526"/>
    <w:rsid w:val="009524AF"/>
    <w:rsid w:val="00974786"/>
    <w:rsid w:val="009E20AD"/>
    <w:rsid w:val="00A15FE4"/>
    <w:rsid w:val="00A54998"/>
    <w:rsid w:val="00A55A60"/>
    <w:rsid w:val="00A622FB"/>
    <w:rsid w:val="00AB0E29"/>
    <w:rsid w:val="00AC032B"/>
    <w:rsid w:val="00AC64ED"/>
    <w:rsid w:val="00AF11DC"/>
    <w:rsid w:val="00AF4D2A"/>
    <w:rsid w:val="00B20AFD"/>
    <w:rsid w:val="00B42A67"/>
    <w:rsid w:val="00B53A54"/>
    <w:rsid w:val="00B569D1"/>
    <w:rsid w:val="00B56E94"/>
    <w:rsid w:val="00B760DA"/>
    <w:rsid w:val="00BA409E"/>
    <w:rsid w:val="00BB0574"/>
    <w:rsid w:val="00BB7A46"/>
    <w:rsid w:val="00BD55C2"/>
    <w:rsid w:val="00C21B04"/>
    <w:rsid w:val="00C2336D"/>
    <w:rsid w:val="00C93B22"/>
    <w:rsid w:val="00D057E4"/>
    <w:rsid w:val="00D13D9D"/>
    <w:rsid w:val="00D420F5"/>
    <w:rsid w:val="00D50331"/>
    <w:rsid w:val="00D61256"/>
    <w:rsid w:val="00D77757"/>
    <w:rsid w:val="00D951AF"/>
    <w:rsid w:val="00DA1CF8"/>
    <w:rsid w:val="00DB4124"/>
    <w:rsid w:val="00DE0882"/>
    <w:rsid w:val="00DE3C9B"/>
    <w:rsid w:val="00E0346C"/>
    <w:rsid w:val="00E05F38"/>
    <w:rsid w:val="00EA34CF"/>
    <w:rsid w:val="00EA6214"/>
    <w:rsid w:val="00EB14F1"/>
    <w:rsid w:val="00F006F2"/>
    <w:rsid w:val="00F22FC2"/>
    <w:rsid w:val="00F26135"/>
    <w:rsid w:val="00F31B96"/>
    <w:rsid w:val="00F5310B"/>
    <w:rsid w:val="00F86009"/>
    <w:rsid w:val="0EC816C9"/>
    <w:rsid w:val="47F20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,"/>
  <w:listSeparator w:val=";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Calibri" w:cs="Times New Roman" w:eastAsia="Times New Roman" w:hAnsi="Calibri"/>
        <w:lang w:val="ru-RU" w:bidi="ar-SA" w:eastAsia="ru-RU"/>
      </w:rPr>
    </w:rPrDefault>
    <w:pPrDefault/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character" w:customStyle="1" w:styleId="FootnoteTextChar">
    <w:name w:val="Footnote Text Char"/>
    <w:uiPriority w:val="99"/>
    <w:semiHidden w:val="on"/>
    <w:rPr>
      <w:sz w:val="20"/>
      <w:szCs w:val="20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200" w:line="276" w:lineRule="auto"/>
    </w:pPr>
    <w:rPr>
      <w:rFonts w:cs="Calibri"/>
      <w:sz w:val="22"/>
      <w:szCs w:val="22"/>
    </w:rPr>
  </w:style>
  <w:style w:type="character" w:default="1" w:styleId="DefaultParagraphFont">
    <w:name w:val="Default Paragraph Font"/>
    <w:uiPriority w:val="1"/>
    <w:unhideWhenUsed w:val="on"/>
  </w:style>
  <w:style w:type="table" w:default="1" w:styleId="NormalTable">
    <w:name w:val="Normal Table"/>
    <w:uiPriority w:val="99"/>
    <w:unhideWhenUsed w:val="on"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character" w:styleId="Footnotereference">
    <w:name w:val="Footnote reference"/>
    <w:uiPriority w:val="99"/>
    <w:unhideWhenUsed w:val="on"/>
    <w:rPr>
      <w:vertAlign w:val="superscript"/>
    </w:rPr>
  </w:style>
  <w:style w:type="character" w:styleId="Annotationreference">
    <w:name w:val="Annotation reference"/>
    <w:uiPriority w:val="99"/>
    <w:semiHidden w:val="on"/>
    <w:rPr>
      <w:rFonts w:cs="Times New Roman"/>
      <w:sz w:val="16"/>
      <w:szCs w:val="16"/>
    </w:rPr>
  </w:style>
  <w:style w:type="character" w:styleId="Emphasis">
    <w:name w:val="Emphasis"/>
    <w:uiPriority w:val="20"/>
    <w:qFormat w:val="on"/>
    <w:rPr>
      <w:rFonts w:ascii="Verdana" w:hAnsi="Verdana"/>
      <w:i/>
      <w:iCs/>
      <w:lang w:val="en-US" w:bidi="ar-SA" w:eastAsia="en-US"/>
    </w:rPr>
  </w:style>
  <w:style w:type="character" w:styleId="Hyperlink">
    <w:name w:val="Hyperlink"/>
    <w:uiPriority w:val="99"/>
    <w:rPr>
      <w:rFonts w:ascii="Verdana" w:hAnsi="Verdana"/>
      <w:color w:val="0000ff"/>
      <w:u w:val="none"/>
      <w:lang w:val="en-US" w:bidi="ar-SA" w:eastAsia="en-US"/>
    </w:rPr>
  </w:style>
  <w:style w:type="character" w:styleId="Pagenumber">
    <w:name w:val="Page number"/>
    <w:uiPriority w:val="99"/>
    <w:rPr>
      <w:rFonts w:ascii="Verdana" w:cs="Verdana" w:hAnsi="Verdana"/>
      <w:lang w:val="en-US" w:eastAsia="en-US"/>
    </w:rPr>
  </w:style>
  <w:style w:type="paragraph" w:styleId="BalloonText">
    <w:name w:val="Balloon Text"/>
    <w:basedOn w:val="Normal"/>
    <w:link w:val="ТекствыноскиЗнак"/>
    <w:uiPriority w:val="99"/>
    <w:unhideWhenUsed w:val="on"/>
    <w:pPr>
      <w:spacing w:after="0" w:line="240" w:lineRule="auto"/>
    </w:pPr>
    <w:rPr>
      <w:rFonts w:ascii="Arial" w:cs="Arial" w:hAnsi="Arial"/>
      <w:sz w:val="18"/>
      <w:szCs w:val="18"/>
    </w:rPr>
  </w:style>
  <w:style w:type="character" w:customStyle="1" w:styleId="ТекствыноскиЗнак">
    <w:name w:val="Текст выноски Знак"/>
    <w:link w:val="BalloonText"/>
    <w:uiPriority w:val="99"/>
    <w:semiHidden w:val="on"/>
    <w:rPr>
      <w:rFonts w:ascii="Arial" w:cs="Arial" w:hAnsi="Arial"/>
      <w:sz w:val="18"/>
      <w:szCs w:val="18"/>
    </w:rPr>
  </w:style>
  <w:style w:type="paragraph" w:styleId="BodyTextIndent3">
    <w:name w:val="Body Text Indent 3"/>
    <w:basedOn w:val="Normal"/>
    <w:link w:val="Основнойтекстсотступом3Знак"/>
    <w:uiPriority w:val="99"/>
    <w:pPr>
      <w:spacing w:after="0" w:line="240" w:lineRule="auto"/>
      <w:ind w:firstLine="540"/>
      <w:jc w:val="both"/>
    </w:pPr>
    <w:rPr>
      <w:sz w:val="28"/>
      <w:szCs w:val="28"/>
    </w:rPr>
  </w:style>
  <w:style w:type="character" w:customStyle="1" w:styleId="Основнойтекстсотступом3Знак">
    <w:name w:val="Основной текст с отступом 3 Знак"/>
    <w:link w:val="BodyTextIndent3"/>
    <w:uiPriority w:val="99"/>
    <w:rPr>
      <w:rFonts w:ascii="Calibri" w:cs="Calibri" w:hAnsi="Calibri"/>
      <w:sz w:val="28"/>
      <w:szCs w:val="28"/>
      <w:lang w:val="en-US" w:eastAsia="en-US"/>
    </w:rPr>
  </w:style>
  <w:style w:type="paragraph" w:styleId="Footnotetext">
    <w:name w:val="Footnote text"/>
    <w:basedOn w:val="Normal"/>
    <w:link w:val="ТекстсноскиЗнак"/>
    <w:uiPriority w:val="99"/>
    <w:unhideWhenUsed w:val="on"/>
    <w:rPr>
      <w:sz w:val="20"/>
      <w:szCs w:val="20"/>
    </w:rPr>
  </w:style>
  <w:style w:type="character" w:customStyle="1" w:styleId="ТекстсноскиЗнак">
    <w:name w:val="Текст сноски Знак"/>
    <w:link w:val="Footnotetext"/>
    <w:uiPriority w:val="99"/>
    <w:semiHidden w:val="on"/>
    <w:rPr>
      <w:rFonts w:cs="Calibri"/>
    </w:rPr>
  </w:style>
  <w:style w:type="paragraph" w:styleId="Header">
    <w:name w:val="Header"/>
    <w:basedOn w:val="Normal"/>
    <w:link w:val="ВерхнийколонтитулЗнак"/>
    <w:uiPriority w:val="99"/>
    <w:pPr>
      <w:tabs>
        <w:tab w:val="center" w:pos="4677"/>
        <w:tab w:val="right" w:pos="9355"/>
      </w:tabs>
    </w:pPr>
  </w:style>
  <w:style w:type="character" w:customStyle="1" w:styleId="ВерхнийколонтитулЗнак">
    <w:name w:val="Верхний колонтитул Знак"/>
    <w:link w:val="Header"/>
    <w:uiPriority w:val="99"/>
    <w:semiHidden w:val="on"/>
  </w:style>
  <w:style w:type="paragraph" w:styleId="Footer">
    <w:name w:val="Footer"/>
    <w:basedOn w:val="Normal"/>
    <w:link w:val="НижнийколонтитулЗнак"/>
    <w:uiPriority w:val="99"/>
    <w:pPr>
      <w:tabs>
        <w:tab w:val="center" w:pos="4677"/>
        <w:tab w:val="right" w:pos="9355"/>
      </w:tabs>
    </w:pPr>
  </w:style>
  <w:style w:type="character" w:customStyle="1" w:styleId="НижнийколонтитулЗнак">
    <w:name w:val="Нижний колонтитул Знак"/>
    <w:link w:val="Footer"/>
    <w:uiPriority w:val="99"/>
    <w:semiHidden w:val="on"/>
  </w:style>
  <w:style w:type="paragraph" w:styleId="Normal(Web)">
    <w:name w:val="Normal (Web)"/>
    <w:basedOn w:val="Normal"/>
    <w:uiPriority w:val="99"/>
    <w:unhideWhenUsed w:val="on"/>
    <w:rPr>
      <w:rFonts w:ascii="Times New Roman" w:cs="Times New Roman" w:hAnsi="Times New Roman"/>
      <w:sz w:val="24"/>
      <w:szCs w:val="24"/>
    </w:rPr>
  </w:style>
  <w:style w:type="character" w:customStyle="1" w:styleId="Невступилвсилу">
    <w:name w:val="Не вступил в силу"/>
    <w:uiPriority w:val="99"/>
    <w:rPr>
      <w:rFonts w:ascii="Verdana" w:cs="Verdana" w:hAnsi="Verdana"/>
      <w:color w:val="008080"/>
      <w:sz w:val="20"/>
      <w:szCs w:val="20"/>
      <w:lang w:val="en-US" w:eastAsia="en-US"/>
    </w:rPr>
  </w:style>
  <w:style w:type="paragraph" w:customStyle="1" w:styleId="Знак1">
    <w:name w:val="Знак1"/>
    <w:basedOn w:val="Normal"/>
    <w:uiPriority w:val="99"/>
    <w:semiHidden w:val="on"/>
    <w:pPr>
      <w:numPr>
        <w:ilvl w:val="0"/>
        <w:numId w:val="1"/>
      </w:numPr>
      <w:tabs>
        <w:tab w:val="clear" w:pos="709"/>
        <w:tab w:val="left" w:pos="360"/>
      </w:tabs>
      <w:spacing w:before="120" w:after="160" w:line="240" w:lineRule="exact"/>
      <w:ind w:left="0" w:firstLine="0"/>
      <w:jc w:val="both"/>
    </w:pPr>
    <w:rPr>
      <w:rFonts w:ascii="Verdana" w:cs="Verdana" w:hAnsi="Verdana"/>
      <w:sz w:val="20"/>
      <w:szCs w:val="20"/>
      <w:lang w:val="en-US" w:eastAsia="en-US"/>
    </w:rPr>
  </w:style>
  <w:style w:type="character" w:customStyle="1" w:styleId="Гипертекстоваяссылка">
    <w:name w:val="Гипертекстовая ссылка"/>
    <w:uiPriority w:val="99"/>
    <w:rPr>
      <w:rFonts w:ascii="Verdana" w:cs="Verdana" w:hAnsi="Verdana"/>
      <w:color w:val="auto"/>
      <w:lang w:val="en-US" w:eastAsia="en-US"/>
    </w:rPr>
  </w:style>
  <w:style w:type="paragraph" w:customStyle="1" w:styleId="Text">
    <w:name w:val="Text"/>
    <w:basedOn w:val="Normal"/>
    <w:link w:val="TextЗнак"/>
    <w:uiPriority w:val="99"/>
    <w:pPr>
      <w:spacing w:after="0" w:line="240" w:lineRule="auto"/>
      <w:ind w:firstLine="567"/>
      <w:jc w:val="both"/>
    </w:pPr>
    <w:rPr>
      <w:rFonts w:ascii="Arial" w:cs="Arial" w:hAnsi="Arial"/>
      <w:sz w:val="24"/>
      <w:szCs w:val="24"/>
    </w:rPr>
  </w:style>
  <w:style w:type="character" w:customStyle="1" w:styleId="TextЗнак">
    <w:name w:val="Text Знак"/>
    <w:link w:val="Text"/>
    <w:uiPriority w:val="99"/>
    <w:rPr>
      <w:rFonts w:ascii="Arial" w:cs="Arial" w:hAnsi="Arial"/>
      <w:sz w:val="24"/>
      <w:szCs w:val="24"/>
      <w:lang w:val="ru-RU" w:eastAsia="ru-RU"/>
    </w:rPr>
  </w:style>
  <w:style w:type="paragraph" w:customStyle="1" w:styleId="Western">
    <w:name w:val="Western"/>
    <w:basedOn w:val="Normal"/>
    <w:uiPriority w:val="99"/>
    <w:pPr>
      <w:spacing w:before="100" w:after="100" w:line="240" w:lineRule="auto"/>
    </w:pPr>
    <w:rPr>
      <w:rFonts w:ascii="Times New Roman" w:cs="Times New Roman" w:hAnsi="Times New Roman"/>
      <w:sz w:val="24"/>
      <w:szCs w:val="24"/>
    </w:rPr>
  </w:style>
  <w:style w:type="paragraph" w:styleId="ListParagraph">
    <w:name w:val="List Paragraph"/>
    <w:basedOn w:val="Normal"/>
    <w:uiPriority w:val="99"/>
    <w:qFormat w:val="on"/>
    <w:pPr>
      <w:ind w:left="720"/>
      <w:contextualSpacing w:val="on"/>
    </w:pPr>
    <w:rPr>
      <w:rFonts w:cs="Times New Roman"/>
    </w:rPr>
  </w:style>
  <w:style w:type="paragraph" w:customStyle="1" w:styleId="P6">
    <w:name w:val="P6"/>
    <w:basedOn w:val="Normal"/>
    <w:uiPriority w:val="99"/>
    <w:pPr>
      <w:spacing w:before="100" w:after="100" w:line="240" w:lineRule="auto"/>
    </w:pPr>
    <w:rPr>
      <w:rFonts w:ascii="Times New Roman" w:cs="Times New Roman" w:hAnsi="Times New Roman"/>
      <w:sz w:val="24"/>
      <w:szCs w:val="24"/>
    </w:rPr>
  </w:style>
  <w:style w:type="paragraph" w:customStyle="1" w:styleId="Знак11">
    <w:name w:val="Знак11"/>
    <w:basedOn w:val="Normal"/>
    <w:uiPriority w:val="99"/>
    <w:semiHidden w:val="on"/>
    <w:pPr>
      <w:tabs>
        <w:tab w:val="left" w:pos="709"/>
      </w:tabs>
      <w:spacing w:before="120" w:after="160" w:line="240" w:lineRule="exact"/>
      <w:ind w:left="709" w:hanging="284"/>
      <w:jc w:val="both"/>
    </w:pPr>
    <w:rPr>
      <w:rFonts w:ascii="Verdana" w:cs="Times New Roman" w:hAnsi="Verdana"/>
      <w:sz w:val="20"/>
      <w:szCs w:val="20"/>
      <w:lang w:val="en-US" w:eastAsia="en-US"/>
    </w:rPr>
  </w:style>
  <w:style w:type="character" w:customStyle="1" w:styleId="Blk">
    <w:name w:val="Blk"/>
    <w:uiPriority w:val="99"/>
    <w:rPr>
      <w:rFonts w:ascii="Verdana" w:hAnsi="Verdana" w:hint="default"/>
      <w:lang w:val="en-US" w:bidi="ar-SA" w:eastAsia="en-US"/>
    </w:rPr>
  </w:style>
  <w:style w:type="paragraph" w:customStyle="1" w:styleId="ConsPlusNormal">
    <w:name w:val="ConsPlusNormal"/>
    <w:uiPriority w:val="99"/>
    <w:pPr/>
    <w:rPr>
      <w:rFonts w:ascii="Times New Roman" w:hAnsi="Times New Roman"/>
      <w:sz w:val="26"/>
      <w:szCs w:val="26"/>
    </w:rPr>
  </w:style>
  <w:style w:type="paragraph" w:customStyle="1" w:styleId="Знак12">
    <w:name w:val="Знак12"/>
    <w:basedOn w:val="Normal"/>
    <w:uiPriority w:val="99"/>
    <w:semiHidden w:val="on"/>
    <w:pPr>
      <w:tabs>
        <w:tab w:val="left" w:pos="360"/>
      </w:tabs>
      <w:spacing w:before="120" w:after="160" w:line="240" w:lineRule="exact"/>
      <w:jc w:val="both"/>
    </w:pPr>
    <w:rPr>
      <w:rFonts w:ascii="Verdana" w:cs="Times New Roman" w:hAnsi="Verdana"/>
      <w:sz w:val="20"/>
      <w:szCs w:val="20"/>
      <w:lang w:val="en-US" w:eastAsia="en-US"/>
    </w:rPr>
  </w:style>
  <w:style w:type="paragraph" w:customStyle="1" w:styleId="ЗнакЗнакЗнакЗнак">
    <w:name w:val="Знак Знак Знак Знак"/>
    <w:basedOn w:val="Normal"/>
    <w:uiPriority w:val="99"/>
    <w:semiHidden w:val="on"/>
    <w:pPr>
      <w:tabs>
        <w:tab w:val="left" w:pos="709"/>
      </w:tabs>
      <w:spacing w:before="120" w:after="160" w:line="240" w:lineRule="exact"/>
      <w:ind w:left="709" w:hanging="284"/>
      <w:jc w:val="both"/>
    </w:pPr>
    <w:rPr>
      <w:rFonts w:ascii="Verdana" w:cs="Times New Roman" w:hAnsi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utf-8"/>
  <w:optimizeForBrowser/>
  <w:allowPNG/>
  <w:pixelsPerInch w:val="120"/>
  <w:targetScreenSz w:val="1024x768"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10" Type="http://schemas.openxmlformats.org/officeDocument/2006/relationships/header" Target="header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4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header1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552</Words>
  <Characters>3149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3694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999</dc:creator>
  <cp:lastModifiedBy>Надежда</cp:lastModifiedB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1049-12.2.0.17119</vt:lpwstr>
  </property>
  <property fmtid="{D5CDD505-2E9C-101B-9397-08002B2CF9AE}" pid="3" name="ICV">
    <vt:lpwstr>4F216E3210234B0498980A62D90C10BB_13</vt:lpwstr>
  </property>
</Properties>
</file>