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От 15.04.2024 № 14</w:t>
      </w:r>
    </w:p>
    <w:p w14:paraId="00000006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РОССИЙСКАЯ ФЕДЕРАЦИЯ</w:t>
      </w:r>
    </w:p>
    <w:p w14:paraId="00000007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ИРКУТСКАЯ ОБЛАСТЬ</w:t>
      </w:r>
    </w:p>
    <w:p w14:paraId="00000008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СЛЮДЯНСКИЙ МУНИЦИПАЛЬНЫЙ РАЙОН</w:t>
      </w:r>
    </w:p>
    <w:p w14:paraId="00000009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ПОРТБАЙКАЛЬСКОЕ МУНИЦИПАЛЬНОЕ ОБРАЗОВАНИЕ</w:t>
      </w:r>
    </w:p>
    <w:p w14:paraId="0000000A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АДМИНИСТРАЦИЯ</w:t>
      </w:r>
    </w:p>
    <w:p w14:paraId="0000000B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ПОСТАНОВЛЕНИЕ</w:t>
      </w:r>
    </w:p>
    <w:p w14:paraId="0000000C">
      <w:pPr>
        <w:pStyle w:val="ConsPlusNormal"/>
        <w:contextualSpacing w:val="on"/>
        <w:jc w:val="center"/>
        <w:rPr>
          <w:rFonts w:ascii="Times New Roman" w:cs="Times New Roman" w:hAnsi="Times New Roman"/>
          <w:sz w:val="28"/>
          <w:szCs w:val="28"/>
        </w:rPr>
      </w:pPr>
    </w:p>
    <w:p w14:paraId="0000000D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О ВНЕСЕНИИ ИЗМЕ</w:t>
      </w:r>
      <w:r>
        <w:rPr>
          <w:b/>
          <w:bCs/>
          <w:iCs/>
          <w:sz w:val="28"/>
          <w:szCs w:val="28"/>
        </w:rPr>
        <w:t>НЕНИЙ В ПОСТАНОВЛЕНИЕ АДМИНИСТРА</w:t>
      </w:r>
      <w:r>
        <w:rPr>
          <w:b/>
          <w:bCs/>
          <w:iCs/>
          <w:sz w:val="28"/>
          <w:szCs w:val="28"/>
        </w:rPr>
        <w:t xml:space="preserve">ЦИИ ПОРТБАЙКАЛЬСКОГО МУНИЦИПАЛЬНОГО ОБРАЗОВАНИЯ </w:t>
      </w:r>
      <w:r>
        <w:rPr>
          <w:b/>
          <w:bCs/>
          <w:iCs/>
          <w:sz w:val="28"/>
          <w:szCs w:val="28"/>
        </w:rPr>
        <w:t>ОТ 1</w:t>
      </w:r>
      <w:r>
        <w:rPr>
          <w:b/>
          <w:bCs/>
          <w:iCs/>
          <w:sz w:val="28"/>
          <w:szCs w:val="28"/>
        </w:rPr>
        <w:t>0.11.2022 № 47</w:t>
      </w:r>
      <w:r>
        <w:rPr>
          <w:b/>
          <w:bCs/>
          <w:iCs/>
          <w:sz w:val="28"/>
          <w:szCs w:val="28"/>
        </w:rPr>
        <w:t xml:space="preserve"> «ОБ УТВЕРЖДЕНИИ МУНИЦИПАЛЬНОЙ ПРОГРАММЫ </w:t>
      </w:r>
      <w:r>
        <w:rPr>
          <w:b/>
          <w:bCs/>
          <w:iCs/>
          <w:sz w:val="28"/>
          <w:szCs w:val="28"/>
        </w:rPr>
        <w:t>«</w:t>
      </w:r>
      <w:r>
        <w:rPr>
          <w:b/>
          <w:bCs/>
          <w:iCs/>
          <w:sz w:val="28"/>
          <w:szCs w:val="28"/>
        </w:rPr>
        <w:t>РЕМОНТ М</w:t>
      </w:r>
      <w:r>
        <w:rPr>
          <w:b/>
          <w:bCs/>
          <w:iCs/>
          <w:sz w:val="28"/>
          <w:szCs w:val="28"/>
        </w:rPr>
        <w:t>УНИЦИПАЛЬНЫХ АВТОМОБИЛЬН</w:t>
      </w:r>
      <w:r>
        <w:rPr>
          <w:b/>
          <w:bCs/>
          <w:iCs/>
          <w:sz w:val="28"/>
          <w:szCs w:val="28"/>
        </w:rPr>
        <w:t>Ы</w:t>
      </w:r>
      <w:r>
        <w:rPr>
          <w:b/>
          <w:bCs/>
          <w:iCs/>
          <w:sz w:val="28"/>
          <w:szCs w:val="28"/>
        </w:rPr>
        <w:t>Х ДОРОГ И ДВОРОВЫХ ТЕРРИТОРИЙ</w:t>
      </w:r>
      <w:r>
        <w:rPr>
          <w:b/>
          <w:bCs/>
          <w:iCs/>
          <w:sz w:val="28"/>
          <w:szCs w:val="28"/>
        </w:rPr>
        <w:t xml:space="preserve"> НА ТЕРРИТОРИИ МУНИЦИПАЛЬНОГО ОБРАЗОВАНИЯ ПОРТБАЙКАЛЬСКОГО СЕЛЬСКОГО ПОСЕЛЕНИЯ НА 2023-2027 Г.</w:t>
      </w:r>
      <w:r>
        <w:rPr>
          <w:b/>
          <w:bCs/>
          <w:iCs/>
          <w:sz w:val="28"/>
          <w:szCs w:val="28"/>
        </w:rPr>
        <w:t>»</w:t>
      </w:r>
    </w:p>
    <w:p w14:paraId="0000000E">
      <w:pPr>
        <w:pStyle w:val="Normal(Web)"/>
        <w:spacing w:before="0" w:after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</w:p>
    <w:p w14:paraId="0000000F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обеспечения благоприятных условий и комфортной среды проживания, повышения транспортной инфраструктуры на территории Портбайкальского муниципального образования, </w:t>
      </w:r>
      <w:r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br w:type="textWrapping"/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Федерал</w:t>
      </w:r>
      <w:r>
        <w:rPr>
          <w:sz w:val="28"/>
          <w:szCs w:val="28"/>
        </w:rPr>
        <w:t>ьным законом от 06.10.2003</w:t>
      </w:r>
      <w:r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руководствуясь ст. 44, 47 Устава муниципального образования Портбайкальского сельского поселения, </w:t>
      </w:r>
      <w:r>
        <w:rPr>
          <w:sz w:val="28"/>
          <w:szCs w:val="28"/>
        </w:rPr>
        <w:t>администрац</w:t>
      </w:r>
      <w:r>
        <w:rPr>
          <w:sz w:val="28"/>
          <w:szCs w:val="28"/>
        </w:rPr>
        <w:t xml:space="preserve">ия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 постановляет</w:t>
      </w:r>
      <w:r>
        <w:rPr>
          <w:bCs/>
          <w:sz w:val="28"/>
          <w:szCs w:val="28"/>
        </w:rPr>
        <w:t xml:space="preserve">: </w:t>
      </w:r>
    </w:p>
    <w:p w14:paraId="00000010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>
        <w:rPr>
          <w:bCs/>
          <w:sz w:val="28"/>
          <w:szCs w:val="28"/>
        </w:rPr>
        <w:t>Внести в муниципальную программу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«Ремонт муниципальных автомобильных дор</w:t>
      </w:r>
      <w:r>
        <w:rPr>
          <w:bCs/>
          <w:sz w:val="28"/>
          <w:szCs w:val="28"/>
        </w:rPr>
        <w:t xml:space="preserve">ог и дворовых территорий </w:t>
      </w:r>
      <w:r>
        <w:rPr>
          <w:bCs/>
          <w:sz w:val="28"/>
          <w:szCs w:val="28"/>
        </w:rPr>
        <w:t>на террит</w:t>
      </w:r>
      <w:r>
        <w:rPr>
          <w:bCs/>
          <w:sz w:val="28"/>
          <w:szCs w:val="28"/>
        </w:rPr>
        <w:t xml:space="preserve">ории муниципального образования </w:t>
      </w:r>
      <w:r>
        <w:rPr>
          <w:bCs/>
          <w:sz w:val="28"/>
          <w:szCs w:val="28"/>
        </w:rPr>
        <w:t>Портбайкальское се</w:t>
      </w:r>
      <w:r>
        <w:rPr>
          <w:bCs/>
          <w:sz w:val="28"/>
          <w:szCs w:val="28"/>
        </w:rPr>
        <w:t>льское поселение на 2023-2027г.</w:t>
      </w:r>
      <w:r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утвержденную постановлением администрации Портбайкальского муниципального образования </w:t>
      </w:r>
      <w:r>
        <w:rPr>
          <w:bCs/>
          <w:sz w:val="28"/>
          <w:szCs w:val="28"/>
        </w:rPr>
        <w:t xml:space="preserve">от 14.11.2023 № 81 </w:t>
      </w:r>
      <w:r>
        <w:rPr>
          <w:bCs/>
          <w:sz w:val="28"/>
          <w:szCs w:val="28"/>
        </w:rPr>
        <w:t>следующие изменения:</w:t>
      </w:r>
      <w:r>
        <w:rPr>
          <w:bCs/>
          <w:sz w:val="28"/>
          <w:szCs w:val="28"/>
        </w:rPr>
        <w:t xml:space="preserve"> </w:t>
      </w:r>
    </w:p>
    <w:p w14:paraId="00000011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 </w:t>
      </w:r>
      <w:r>
        <w:rPr>
          <w:bCs/>
          <w:sz w:val="28"/>
          <w:szCs w:val="28"/>
        </w:rPr>
        <w:t xml:space="preserve">Раздел 4. Объемы и источники финансирования представлены в </w:t>
      </w:r>
      <w:r>
        <w:rPr>
          <w:bCs/>
          <w:sz w:val="28"/>
          <w:szCs w:val="28"/>
        </w:rPr>
        <w:t>таблице</w:t>
      </w:r>
      <w:r>
        <w:rPr>
          <w:bCs/>
          <w:sz w:val="28"/>
          <w:szCs w:val="28"/>
        </w:rPr>
        <w:t xml:space="preserve"> изложить </w:t>
      </w:r>
      <w:r>
        <w:rPr>
          <w:bCs/>
          <w:sz w:val="28"/>
          <w:szCs w:val="28"/>
        </w:rPr>
        <w:t>в новой редакции:</w:t>
      </w:r>
    </w:p>
    <w:p w14:paraId="00000012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4. Объемы и источники финансирования представлены в таблице</w:t>
      </w:r>
      <w:r>
        <w:rPr>
          <w:bCs/>
          <w:sz w:val="28"/>
          <w:szCs w:val="28"/>
        </w:rPr>
        <w:t>:</w:t>
      </w:r>
    </w:p>
    <w:p w14:paraId="00000013">
      <w:pPr>
        <w:ind w:firstLine="709"/>
        <w:jc w:val="both"/>
        <w:rPr>
          <w:bCs/>
          <w:sz w:val="28"/>
          <w:szCs w:val="28"/>
        </w:rPr>
      </w:pPr>
    </w:p>
    <w:tbl>
      <w:tblPr>
        <w:tblW w:w="994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2660"/>
        <w:gridCol w:w="1276"/>
        <w:gridCol w:w="1395"/>
        <w:gridCol w:w="1308"/>
        <w:gridCol w:w="1265"/>
        <w:gridCol w:w="1022"/>
        <w:gridCol w:w="1022"/>
      </w:tblGrid>
      <w:tr>
        <w:trPr/>
        <w:tc>
          <w:tcPr>
            <w:cnfStyle w:val="101000000000"/>
            <w:tcW w:w="26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4">
            <w:pPr>
              <w:ind w:right="-54"/>
              <w:rPr>
                <w:sz w:val="28"/>
                <w:szCs w:val="28"/>
              </w:rPr>
            </w:pPr>
          </w:p>
        </w:tc>
        <w:tc>
          <w:tcPr>
            <w:cnfStyle w:val="100000000000"/>
            <w:tcW w:w="62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5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Источники финансирования (тыс.  руб.)</w:t>
            </w:r>
          </w:p>
        </w:tc>
        <w:tc>
          <w:tcPr>
            <w:cnfStyle w:val="10000000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16">
            <w:pPr>
              <w:ind w:right="-54"/>
              <w:jc w:val="center"/>
              <w:rPr>
                <w:bCs/>
                <w:sz w:val="28"/>
                <w:szCs w:val="28"/>
              </w:rPr>
            </w:pPr>
          </w:p>
        </w:tc>
      </w:tr>
      <w:tr>
        <w:trPr/>
        <w:tc>
          <w:tcPr>
            <w:cnfStyle w:val="001000100000"/>
            <w:tcW w:w="26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7">
            <w:pPr>
              <w:rPr>
                <w:sz w:val="28"/>
                <w:szCs w:val="28"/>
              </w:rPr>
            </w:pPr>
          </w:p>
        </w:tc>
        <w:tc>
          <w:tcPr>
            <w:cnfStyle w:val="00000010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cnfStyle w:val="00000010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9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cnfStyle w:val="00000010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A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района</w:t>
            </w:r>
          </w:p>
          <w:p w14:paraId="0000001B">
            <w:pPr>
              <w:tabs>
                <w:tab w:val="left" w:pos="1440"/>
              </w:tabs>
              <w:ind w:right="-54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cnfStyle w:val="00000010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C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Бюджеты поселений</w:t>
            </w:r>
          </w:p>
        </w:tc>
        <w:tc>
          <w:tcPr>
            <w:cnfStyle w:val="00000010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D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cnfStyle w:val="00000010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1E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/>
        <w:tc>
          <w:tcPr>
            <w:cnfStyle w:val="00100001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1F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Объём финансирования -всего </w:t>
            </w:r>
          </w:p>
        </w:tc>
        <w:tc>
          <w:tcPr>
            <w:cnfStyle w:val="00000001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20">
            <w:pPr>
              <w:rPr>
                <w:sz w:val="20"/>
                <w:szCs w:val="20"/>
              </w:rPr>
            </w:pPr>
          </w:p>
        </w:tc>
        <w:tc>
          <w:tcPr>
            <w:cnfStyle w:val="00000001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21">
            <w:pPr>
              <w:rPr>
                <w:sz w:val="20"/>
                <w:szCs w:val="20"/>
              </w:rPr>
            </w:pPr>
          </w:p>
        </w:tc>
        <w:tc>
          <w:tcPr>
            <w:cnfStyle w:val="00000001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22">
            <w:pPr>
              <w:rPr>
                <w:sz w:val="20"/>
                <w:szCs w:val="20"/>
              </w:rPr>
            </w:pPr>
          </w:p>
        </w:tc>
        <w:tc>
          <w:tcPr>
            <w:cnfStyle w:val="00000001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23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cnfStyle w:val="00000001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00024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cnfStyle w:val="00000001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25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321"/>
        </w:trPr>
        <w:tc>
          <w:tcPr>
            <w:cnfStyle w:val="00100010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6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cnfStyle w:val="00000010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7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962,5</w:t>
            </w:r>
          </w:p>
        </w:tc>
        <w:tc>
          <w:tcPr>
            <w:cnfStyle w:val="00000010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10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9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cnfStyle w:val="00000010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A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962,5</w:t>
            </w:r>
          </w:p>
        </w:tc>
        <w:tc>
          <w:tcPr>
            <w:cnfStyle w:val="00000010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B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cnfStyle w:val="00000010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2C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270"/>
        </w:trPr>
        <w:tc>
          <w:tcPr>
            <w:cnfStyle w:val="00100001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D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  <w:tc>
          <w:tcPr>
            <w:cnfStyle w:val="00000001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E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cnfStyle w:val="00000001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2F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01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0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cnfStyle w:val="00000001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1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cnfStyle w:val="00000001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2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cnfStyle w:val="00000001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33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375"/>
        </w:trPr>
        <w:tc>
          <w:tcPr>
            <w:cnfStyle w:val="00100010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4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</w:t>
            </w:r>
          </w:p>
        </w:tc>
        <w:tc>
          <w:tcPr>
            <w:cnfStyle w:val="00000010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5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1 225,8</w:t>
            </w:r>
          </w:p>
        </w:tc>
        <w:tc>
          <w:tcPr>
            <w:cnfStyle w:val="00000010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10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7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cnfStyle w:val="00000010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1 225,8</w:t>
            </w:r>
          </w:p>
        </w:tc>
        <w:tc>
          <w:tcPr>
            <w:cnfStyle w:val="00000010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9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14:paraId="0000003A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cnfStyle w:val="00000010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3B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540"/>
        </w:trPr>
        <w:tc>
          <w:tcPr>
            <w:cnfStyle w:val="00100001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C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</w:t>
            </w:r>
          </w:p>
        </w:tc>
        <w:tc>
          <w:tcPr>
            <w:cnfStyle w:val="00000001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D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1 268,4</w:t>
            </w:r>
          </w:p>
        </w:tc>
        <w:tc>
          <w:tcPr>
            <w:cnfStyle w:val="00000001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E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01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3F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cnfStyle w:val="00000001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0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1 268,4</w:t>
            </w:r>
          </w:p>
        </w:tc>
        <w:tc>
          <w:tcPr>
            <w:cnfStyle w:val="00000001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1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14:paraId="00000042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cnfStyle w:val="00000001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43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570"/>
        </w:trPr>
        <w:tc>
          <w:tcPr>
            <w:cnfStyle w:val="00100010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4">
            <w:pPr>
              <w:ind w:right="-5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год</w:t>
            </w:r>
          </w:p>
        </w:tc>
        <w:tc>
          <w:tcPr>
            <w:cnfStyle w:val="00000010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5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cnfStyle w:val="00000010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6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10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7">
            <w:pPr>
              <w:ind w:right="-54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cnfStyle w:val="00000010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8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1 189,6</w:t>
            </w:r>
          </w:p>
        </w:tc>
        <w:tc>
          <w:tcPr>
            <w:cnfStyle w:val="00000010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9">
            <w:pPr>
              <w:ind w:right="-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14:paraId="0000004A">
            <w:pPr>
              <w:ind w:right="-54"/>
              <w:jc w:val="center"/>
              <w:rPr>
                <w:sz w:val="28"/>
                <w:szCs w:val="28"/>
              </w:rPr>
            </w:pPr>
          </w:p>
        </w:tc>
        <w:tc>
          <w:tcPr>
            <w:cnfStyle w:val="00000010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4B">
            <w:pPr>
              <w:ind w:right="-54"/>
              <w:jc w:val="center"/>
              <w:rPr>
                <w:sz w:val="28"/>
                <w:szCs w:val="28"/>
              </w:rPr>
            </w:pPr>
          </w:p>
        </w:tc>
      </w:tr>
      <w:tr>
        <w:trPr>
          <w:trHeight w:val="345"/>
        </w:trPr>
        <w:tc>
          <w:tcPr>
            <w:cnfStyle w:val="001000010000"/>
            <w:tcW w:w="2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cnfStyle w:val="000000010000"/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5 855,9</w:t>
            </w:r>
          </w:p>
        </w:tc>
        <w:tc>
          <w:tcPr>
            <w:cnfStyle w:val="000000010000"/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E">
            <w:pPr>
              <w:ind w:left="4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cnfStyle w:val="000000010000"/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cnfStyle w:val="000000010000"/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5 855,9</w:t>
            </w:r>
          </w:p>
        </w:tc>
        <w:tc>
          <w:tcPr>
            <w:cnfStyle w:val="000000010000"/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cnfStyle w:val="000000010000"/>
            <w:tcW w:w="1022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52">
            <w:pPr>
              <w:spacing w:line="48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</w:t>
            </w:r>
          </w:p>
        </w:tc>
      </w:tr>
    </w:tbl>
    <w:p w14:paraId="00000053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2) раздел 5. </w:t>
      </w:r>
      <w:r>
        <w:rPr>
          <w:bCs/>
          <w:sz w:val="28"/>
          <w:szCs w:val="28"/>
        </w:rPr>
        <w:t>Объем финансирования на ремонт муниципаль</w:t>
      </w:r>
      <w:r>
        <w:rPr>
          <w:bCs/>
          <w:sz w:val="28"/>
          <w:szCs w:val="28"/>
        </w:rPr>
        <w:t>ных дорог и дворовых территорий дополнить пунктом 2027 год:</w:t>
      </w:r>
    </w:p>
    <w:p w14:paraId="00000054">
      <w:pPr>
        <w:ind w:firstLine="709"/>
        <w:jc w:val="both"/>
        <w:rPr>
          <w:bCs/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651"/>
        <w:gridCol w:w="2740"/>
        <w:gridCol w:w="1912"/>
        <w:gridCol w:w="1313"/>
        <w:gridCol w:w="1889"/>
        <w:gridCol w:w="396"/>
      </w:tblGrid>
      <w:tr>
        <w:trPr/>
        <w:tc>
          <w:tcPr>
            <w:cnfStyle w:val="101000000000"/>
            <w:tcW w:w="651" w:type="dxa"/>
            <w:tcBorders>
              <w:top w:val="nil" w:sz="4" w:space="0"/>
              <w:left w:val="nil" w:sz="4" w:space="0"/>
              <w:bottom w:val="nil" w:sz="4" w:space="0"/>
              <w:right w:val="single" w:color="auto" w:sz="4" w:space="0"/>
            </w:tcBorders>
          </w:tcPr>
          <w:p w14:paraId="00000055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</w:p>
        </w:tc>
        <w:tc>
          <w:tcPr>
            <w:cnfStyle w:val="100000000000"/>
            <w:tcW w:w="7854" w:type="dxa"/>
            <w:gridSpan w:val="4"/>
            <w:tcBorders>
              <w:left w:val="single" w:color="auto" w:sz="4" w:space="0"/>
              <w:right w:val="single" w:color="auto" w:sz="4" w:space="0"/>
            </w:tcBorders>
          </w:tcPr>
          <w:p w14:paraId="00000056">
            <w:pPr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  <w:p w14:paraId="00000057">
            <w:pPr>
              <w:rPr>
                <w:b/>
              </w:rPr>
            </w:pPr>
          </w:p>
        </w:tc>
        <w:tc>
          <w:tcPr>
            <w:cnfStyle w:val="100000000000"/>
            <w:tcW w:w="279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58">
            <w:pPr>
              <w:jc w:val="center"/>
              <w:rPr>
                <w:b/>
              </w:rPr>
            </w:pPr>
          </w:p>
        </w:tc>
      </w:tr>
      <w:tr>
        <w:trPr/>
        <w:tc>
          <w:tcPr>
            <w:cnfStyle w:val="001000100000"/>
            <w:tcW w:w="651" w:type="dxa"/>
            <w:tcBorders>
              <w:top w:val="nil" w:sz="4" w:space="0"/>
              <w:left w:val="nil" w:sz="4" w:space="0"/>
              <w:bottom w:val="nil" w:sz="4" w:space="0"/>
              <w:right w:val="single" w:color="auto" w:sz="4" w:space="0"/>
            </w:tcBorders>
          </w:tcPr>
          <w:p w14:paraId="00000059">
            <w:pPr>
              <w:pStyle w:val="BodyTextIndent"/>
              <w:ind w:left="0"/>
              <w:rPr/>
            </w:pPr>
          </w:p>
        </w:tc>
        <w:tc>
          <w:tcPr>
            <w:cnfStyle w:val="000000100000"/>
            <w:tcW w:w="2740" w:type="dxa"/>
            <w:tcBorders>
              <w:left w:val="single" w:color="auto" w:sz="4" w:space="0"/>
            </w:tcBorders>
          </w:tcPr>
          <w:p w14:paraId="0000005A">
            <w:pPr>
              <w:pStyle w:val="BodyTextIndent"/>
              <w:ind w:left="0"/>
              <w:rPr>
                <w:b/>
                <w:bCs/>
              </w:rPr>
            </w:pPr>
            <w:r>
              <w:t>Содержание автомобильных дорог, дорожных сооружений и элементов обустройства автомобильных дорог</w:t>
            </w:r>
          </w:p>
        </w:tc>
        <w:tc>
          <w:tcPr>
            <w:cnfStyle w:val="000000100000"/>
            <w:tcW w:w="1912" w:type="dxa"/>
          </w:tcPr>
          <w:p w14:paraId="0000005B">
            <w:pPr>
              <w:pStyle w:val="BodyTextIndent"/>
              <w:ind w:left="0"/>
              <w:jc w:val="center"/>
              <w:rPr>
                <w:b/>
                <w:bCs/>
              </w:rPr>
            </w:pPr>
          </w:p>
          <w:p w14:paraId="0000005C">
            <w:pPr>
              <w:pStyle w:val="BodyTextIndent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936,9</w:t>
            </w:r>
          </w:p>
        </w:tc>
        <w:tc>
          <w:tcPr>
            <w:cnfStyle w:val="000000100000"/>
            <w:tcW w:w="1313" w:type="dxa"/>
          </w:tcPr>
          <w:p w14:paraId="0000005D">
            <w:pPr>
              <w:pStyle w:val="BodyTextIndent"/>
              <w:ind w:left="0"/>
              <w:jc w:val="center"/>
              <w:rPr>
                <w:b/>
                <w:bCs/>
              </w:rPr>
            </w:pPr>
          </w:p>
          <w:p w14:paraId="0000005E">
            <w:pPr>
              <w:pStyle w:val="BodyTextIndent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cnfStyle w:val="000000100000"/>
            <w:tcW w:w="1889" w:type="dxa"/>
            <w:tcBorders>
              <w:right w:val="single" w:color="auto" w:sz="4" w:space="0"/>
            </w:tcBorders>
          </w:tcPr>
          <w:p w14:paraId="0000005F">
            <w:pPr>
              <w:pStyle w:val="BodyTextIndent"/>
              <w:ind w:left="0"/>
              <w:jc w:val="center"/>
              <w:rPr>
                <w:b/>
                <w:bCs/>
              </w:rPr>
            </w:pPr>
          </w:p>
          <w:p w14:paraId="00000060">
            <w:pPr>
              <w:pStyle w:val="BodyTextIndent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936,9</w:t>
            </w:r>
          </w:p>
        </w:tc>
        <w:tc>
          <w:tcPr>
            <w:cnfStyle w:val="000000100000"/>
            <w:tcW w:w="279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61">
            <w:pPr>
              <w:pStyle w:val="BodyTextIndent"/>
              <w:ind w:left="0"/>
              <w:jc w:val="center"/>
              <w:rPr>
                <w:b/>
                <w:bCs/>
              </w:rPr>
            </w:pPr>
          </w:p>
        </w:tc>
      </w:tr>
      <w:tr>
        <w:trPr/>
        <w:tc>
          <w:tcPr>
            <w:cnfStyle w:val="001000010000"/>
            <w:tcW w:w="651" w:type="dxa"/>
            <w:tcBorders>
              <w:top w:val="nil" w:sz="4" w:space="0"/>
              <w:left w:val="nil" w:sz="4" w:space="0"/>
              <w:bottom w:val="nil" w:sz="4" w:space="0"/>
              <w:right w:val="single" w:color="auto" w:sz="4" w:space="0"/>
            </w:tcBorders>
          </w:tcPr>
          <w:p w14:paraId="00000062">
            <w:pPr>
              <w:pStyle w:val="BodyTextIndent"/>
              <w:ind w:left="0"/>
              <w:rPr/>
            </w:pPr>
          </w:p>
        </w:tc>
        <w:tc>
          <w:tcPr>
            <w:cnfStyle w:val="000000010000"/>
            <w:tcW w:w="2740" w:type="dxa"/>
            <w:tcBorders>
              <w:left w:val="single" w:color="auto" w:sz="4" w:space="0"/>
            </w:tcBorders>
          </w:tcPr>
          <w:p w14:paraId="00000063">
            <w:pPr>
              <w:pStyle w:val="BodyTextIndent"/>
              <w:ind w:left="0"/>
              <w:rPr>
                <w:b/>
                <w:bCs/>
              </w:rPr>
            </w:pPr>
            <w:r>
              <w:t>Замена вышедших из строя ламп и светильников, проводов, кабелей, автоматических выключателей и других элементов электроосвещения,  плата за расходы электроэнергии на освещение</w:t>
            </w:r>
          </w:p>
        </w:tc>
        <w:tc>
          <w:tcPr>
            <w:cnfStyle w:val="000000010000"/>
            <w:tcW w:w="1912" w:type="dxa"/>
          </w:tcPr>
          <w:p w14:paraId="00000064">
            <w:pPr>
              <w:pStyle w:val="BodyTextIndent"/>
              <w:tabs>
                <w:tab w:val="left" w:pos="825"/>
                <w:tab w:val="center" w:pos="949"/>
              </w:tabs>
              <w:ind w:left="0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ab/>
            </w:r>
            <w:r>
              <w:rPr>
                <w:b/>
                <w:bCs/>
                <w:lang w:val="ru-RU" w:eastAsia="ru-RU"/>
              </w:rPr>
              <w:t>252,7</w:t>
            </w:r>
          </w:p>
        </w:tc>
        <w:tc>
          <w:tcPr>
            <w:cnfStyle w:val="000000010000"/>
            <w:tcW w:w="1313" w:type="dxa"/>
          </w:tcPr>
          <w:p w14:paraId="00000065">
            <w:pPr>
              <w:pStyle w:val="BodyTextIndent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--</w:t>
            </w:r>
          </w:p>
        </w:tc>
        <w:tc>
          <w:tcPr>
            <w:cnfStyle w:val="000000010000"/>
            <w:tcW w:w="1889" w:type="dxa"/>
            <w:tcBorders>
              <w:right w:val="single" w:color="auto" w:sz="4" w:space="0"/>
            </w:tcBorders>
          </w:tcPr>
          <w:p w14:paraId="00000066">
            <w:pPr>
              <w:pStyle w:val="BodyTextIndent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  <w:lang w:val="ru-RU" w:eastAsia="ru-RU"/>
              </w:rPr>
              <w:t>252,7</w:t>
            </w:r>
          </w:p>
        </w:tc>
        <w:tc>
          <w:tcPr>
            <w:cnfStyle w:val="000000010000"/>
            <w:tcW w:w="279" w:type="dxa"/>
            <w:tcBorders>
              <w:top w:val="nil" w:sz="4" w:space="0"/>
              <w:left w:val="single" w:color="auto" w:sz="4" w:space="0"/>
              <w:bottom w:val="nil" w:sz="4" w:space="0"/>
              <w:right w:val="nil" w:sz="4" w:space="0"/>
            </w:tcBorders>
          </w:tcPr>
          <w:p w14:paraId="00000067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8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9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A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B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C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D">
            <w:pPr>
              <w:pStyle w:val="BodyTextIndent"/>
              <w:ind w:left="0"/>
              <w:jc w:val="center"/>
              <w:rPr>
                <w:b/>
                <w:bCs/>
                <w:lang w:val="ru-RU" w:eastAsia="ru-RU"/>
              </w:rPr>
            </w:pPr>
          </w:p>
          <w:p w14:paraId="0000006E">
            <w:pPr>
              <w:pStyle w:val="BodyTextIndent"/>
              <w:ind w:left="0"/>
              <w:rPr>
                <w:b/>
                <w:bCs/>
                <w:lang w:val="ru-RU" w:eastAsia="ru-RU"/>
              </w:rPr>
            </w:pPr>
            <w:r>
              <w:rPr>
                <w:b/>
                <w:bCs/>
                <w:lang w:val="ru-RU" w:eastAsia="ru-RU"/>
              </w:rPr>
              <w:t>»</w:t>
            </w:r>
            <w:r>
              <w:rPr>
                <w:b/>
                <w:bCs/>
                <w:lang w:val="ru-RU" w:eastAsia="ru-RU"/>
              </w:rPr>
              <w:t>.</w:t>
            </w:r>
          </w:p>
        </w:tc>
      </w:tr>
    </w:tbl>
    <w:p w14:paraId="0000006F"/>
    <w:p w14:paraId="0000007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. Настоящее постановление </w:t>
      </w:r>
      <w:r>
        <w:rPr>
          <w:sz w:val="28"/>
          <w:szCs w:val="28"/>
        </w:rPr>
        <w:t>вступает в силу со дня его опубликования.</w:t>
      </w:r>
    </w:p>
    <w:p w14:paraId="00000071">
      <w:bookmarkStart w:id="0" w:name="_GoBack"/>
    </w:p>
    <w:p w14:paraId="00000072"/>
    <w:p w14:paraId="00000073">
      <w:pPr>
        <w:rPr>
          <w:sz w:val="28"/>
          <w:szCs w:val="28"/>
        </w:rPr>
      </w:pPr>
      <w:r>
        <w:rPr>
          <w:sz w:val="28"/>
          <w:szCs w:val="28"/>
        </w:rPr>
        <w:t>Глава Портбайкальского</w:t>
      </w:r>
    </w:p>
    <w:p w14:paraId="00000074">
      <w:pPr>
        <w:rPr>
          <w:sz w:val="28"/>
          <w:szCs w:val="28"/>
        </w:rPr>
      </w:pP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униципального </w:t>
      </w:r>
      <w:r>
        <w:rPr>
          <w:sz w:val="28"/>
          <w:szCs w:val="28"/>
        </w:rPr>
        <w:t xml:space="preserve">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Н.И. Симакова</w:t>
      </w:r>
      <w:bookmarkEnd w:id="0"/>
    </w:p>
    <w:sectPr>
      <w:headerReference w:type="default" r:id="rId10"/>
      <w:footerReference w:type="default" r:id="rId11"/>
      <w:pgSz w:w="11906" w:h="16838"/>
      <w:pgMar w:top="1134" w:right="850" w:bottom="1134" w:left="1701" w:header="567" w:footer="708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77">
    <w:pPr>
      <w:pStyle w:val="Footer"/>
      <w:ind w:right="360"/>
      <w:rPr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75">
    <w:pPr>
      <w:pStyle w:val="Header"/>
      <w:jc w:val="center"/>
      <w:rPr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>2</w:t>
    </w:r>
    <w:r>
      <w:fldChar w:fldCharType="end"/>
    </w:r>
  </w:p>
  <w:p w14:paraId="00000076">
    <w:pPr>
      <w:pStyle w:val="Header"/>
      <w:rPr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358"/>
    <w:rsid w:val="0005749E"/>
    <w:rsid w:val="000630B0"/>
    <w:rsid w:val="0015088E"/>
    <w:rsid w:val="0031327E"/>
    <w:rsid w:val="003274C3"/>
    <w:rsid w:val="00362335"/>
    <w:rsid w:val="00412172"/>
    <w:rsid w:val="006A5D7B"/>
    <w:rsid w:val="008C4F33"/>
    <w:rsid w:val="00B23DD0"/>
    <w:rsid w:val="00C06900"/>
    <w:rsid w:val="00C602F5"/>
    <w:rsid w:val="00C93CF8"/>
    <w:rsid w:val="00CF7815"/>
    <w:rsid w:val="00D77B53"/>
    <w:rsid w:val="00EF02DD"/>
    <w:rsid w:val="00F5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2DF53"/>
  <w15:chartTrackingRefBased/>
  <w15:docId w15:val="{ACFEE27D-BB4C-426E-A4CF-900A91B4519E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Calibri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Footer">
    <w:name w:val="Footer"/>
    <w:basedOn w:val="Normal"/>
    <w:link w:val="НижнийколонтитулЗнак"/>
    <w:uiPriority w:val="99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  <w:rPr>
      <w:rFonts w:ascii="Times New Roman" w:cs="Times New Roman" w:eastAsia="Times New Roman" w:hAnsi="Times New Roman"/>
      <w:sz w:val="24"/>
      <w:szCs w:val="24"/>
    </w:rPr>
  </w:style>
  <w:style w:type="paragraph" w:styleId="Header">
    <w:name w:val="Header"/>
    <w:basedOn w:val="Normal"/>
    <w:link w:val="ВерхнийколонтитулЗнак"/>
    <w:uiPriority w:val="99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  <w:rPr>
      <w:rFonts w:ascii="Times New Roman" w:cs="Times New Roman" w:eastAsia="Times New Roman" w:hAnsi="Times New Roman"/>
      <w:sz w:val="24"/>
      <w:szCs w:val="24"/>
    </w:rPr>
  </w:style>
  <w:style w:type="paragraph" w:customStyle="1" w:styleId="ConsPlusNormal">
    <w:name w:val="ConsPlusNormal"/>
    <w:uiPriority w:val="99"/>
    <w:pPr>
      <w:widowControl w:val="off"/>
      <w:spacing w:after="0" w:line="240" w:lineRule="auto"/>
    </w:pPr>
    <w:rPr>
      <w:rFonts w:ascii="Calibri" w:cs="Calibri" w:eastAsia="Times New Roman" w:hAnsi="Calibri"/>
      <w:szCs w:val="20"/>
      <w:lang w:eastAsia="ru-RU"/>
    </w:rPr>
  </w:style>
  <w:style w:type="paragraph" w:styleId="Normal(Web)">
    <w:name w:val="Normal (Web)"/>
    <w:basedOn w:val="Normal"/>
    <w:uiPriority w:val="99"/>
    <w:unhideWhenUsed w:val="on"/>
    <w:pPr>
      <w:spacing w:before="100" w:after="100"/>
    </w:pPr>
  </w:style>
  <w:style w:type="paragraph" w:customStyle="1" w:styleId="Standard">
    <w:name w:val="Standard"/>
    <w:uiPriority w:val="99"/>
    <w:pPr>
      <w:spacing w:after="0" w:line="240" w:lineRule="auto"/>
    </w:pPr>
    <w:rPr>
      <w:rFonts w:ascii="Times New Roman" w:cs="Calibri" w:eastAsia="Times New Roman" w:hAnsi="Times New Roman"/>
      <w:sz w:val="24"/>
      <w:szCs w:val="24"/>
      <w:lang w:val="en-US" w:eastAsia="zh-CN"/>
    </w:rPr>
  </w:style>
  <w:style w:type="table" w:styleId="TableGrid">
    <w:name w:val="Table Grid"/>
    <w:basedOn w:val="NormalTable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odyTextIndent">
    <w:name w:val="Body Text Indent"/>
    <w:basedOn w:val="Normal"/>
    <w:link w:val="ОсновнойтекстсотступомЗнак"/>
    <w:uiPriority w:val="99"/>
    <w:unhideWhenUsed w:val="on"/>
    <w:pPr>
      <w:spacing w:after="120"/>
      <w:ind w:left="283"/>
    </w:pPr>
    <w:rPr>
      <w:rFonts w:cs="Times New Roman"/>
    </w:rPr>
  </w:style>
  <w:style w:type="character" w:customStyle="1" w:styleId="ОсновнойтекстсотступомЗнак">
    <w:name w:val="Основной текст с отступом Знак"/>
    <w:basedOn w:val="DefaultParagraphFont"/>
    <w:link w:val="BodyTextIndent"/>
    <w:uiPriority w:val="99"/>
    <w:rPr>
      <w:rFonts w:ascii="Times New Roman" w:cs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10" Type="http://schemas.openxmlformats.org/officeDocument/2006/relationships/header" Target="header1.xml"/><Relationship Id="rId11" Type="http://schemas.openxmlformats.org/officeDocument/2006/relationships/footer" Target="footer1.xml"/><Relationship Id="rId2" Type="http://schemas.openxmlformats.org/officeDocument/2006/relationships/settings" Target="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er1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Дарья Юрьевна</dc:creator>
  <cp:lastModifiedBy>Надежда</cp:lastModifiedBy>
</cp:coreProperties>
</file>