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 xml:space="preserve">ОТ </w:t>
      </w:r>
      <w:r>
        <w:rPr>
          <w:rFonts w:eastAsia="Times New Roman" w:cs="Times New Roman" w:ascii="Times New Roman" w:hAnsi="Times New Roman"/>
        </w:rPr>
        <w:t>03.06.2026г</w:t>
      </w:r>
      <w:r>
        <w:rPr>
          <w:rFonts w:eastAsia="Times New Roman" w:cs="Times New Roman" w:ascii="Times New Roman" w:hAnsi="Times New Roman"/>
        </w:rPr>
        <w:t xml:space="preserve">   № </w:t>
      </w:r>
      <w:r>
        <w:rPr>
          <w:rFonts w:eastAsia="Times New Roman" w:cs="Times New Roman" w:ascii="Times New Roman" w:hAnsi="Times New Roman"/>
        </w:rPr>
        <w:t>34</w:t>
      </w:r>
      <w:r>
        <w:rPr>
          <w:rFonts w:eastAsia="Times New Roman" w:cs="Times New Roman" w:ascii="Times New Roman" w:hAnsi="Times New Roman"/>
        </w:rPr>
        <w:t xml:space="preserve">   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>РОССИЙСКАЯ ФЕДЕРАЦИЯ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>ИРКУТСКАЯ ОБЛАСТЬ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>СЛЮДЯНСКИЙ МУНИЦИПАЛЬНЫЙ РАЙОН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>ПОРТБАЙКАЛЬСКОЕ МУНИЦИПАЛЬНОЕ ОБРАЗОВАНИЕ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>АДМИНИСТРАЦИЯ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  <w:t>ПОСТАНОВЛЕНИЕ</w:t>
      </w:r>
    </w:p>
    <w:p>
      <w:pPr>
        <w:pStyle w:val="Normal"/>
        <w:widowControl/>
        <w:tabs>
          <w:tab w:val="clear" w:pos="708"/>
          <w:tab w:val="left" w:pos="9355" w:leader="none"/>
        </w:tabs>
        <w:ind w:end="-5"/>
        <w:jc w:val="center"/>
        <w:rPr>
          <w:rFonts w:ascii="Times New Roman" w:hAnsi="Times New Roman" w:eastAsia="Times New Roman" w:cs="Times New Roman"/>
          <w:b/>
          <w:color w:val="auto"/>
          <w:sz w:val="32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11"/>
        <w:shd w:val="clear" w:color="auto" w:fill="auto"/>
        <w:spacing w:lineRule="exact" w:line="269" w:before="0" w:after="240"/>
        <w:ind w:hanging="0" w:start="20" w:end="3020"/>
        <w:rPr/>
      </w:pPr>
      <w:r>
        <w:rPr/>
        <w:t xml:space="preserve">Об утверждении Положения о порядке муниципальных заимствований, обслуживания и управления муниципальным долгом </w:t>
      </w:r>
      <w:r>
        <w:rPr/>
        <w:t xml:space="preserve">Портбайкальского </w:t>
      </w:r>
      <w:r>
        <w:rPr/>
        <w:t>муниципального образования</w:t>
      </w:r>
    </w:p>
    <w:p>
      <w:pPr>
        <w:pStyle w:val="11"/>
        <w:shd w:val="clear" w:color="auto" w:fill="auto"/>
        <w:spacing w:lineRule="exact" w:line="269" w:before="0" w:after="271"/>
        <w:ind w:firstLine="700" w:start="20" w:end="20"/>
        <w:jc w:val="both"/>
        <w:rPr/>
      </w:pPr>
      <w:r>
        <w:rPr/>
        <w:t>В целях создания условий для привлечения средств финансирования расходов Портбайкальского муниципального образования, на основании Бюджетного кодекса Российской Федерации, Федеральных законов от 26. 07.2006 г. № 135 -ФЗ «О защите конкуренции», от 06.10.2003 г. № 131 -ФЗ «Об общих принципах организации местного самоуправления в Российской Федерации», от 29.07.1998 г. № 136-Ф3 «Об особенностях эмиссии и обращения государственных и муниципальных ценных бумаг», от 22.04.1996 г. № 39-Ф3 «О рынке ценных бумаг», руководствуясь  Устав</w:t>
      </w:r>
      <w:r>
        <w:rPr/>
        <w:t>ом</w:t>
      </w:r>
      <w:r>
        <w:rPr/>
        <w:t xml:space="preserve"> Портбайкальского муниципального образования, администрация Портбайкальского муниципального образования</w:t>
      </w:r>
    </w:p>
    <w:p>
      <w:pPr>
        <w:pStyle w:val="11"/>
        <w:shd w:val="clear" w:color="auto" w:fill="auto"/>
        <w:spacing w:lineRule="exact" w:line="230" w:before="0" w:after="212"/>
        <w:ind w:firstLine="700" w:start="20"/>
        <w:jc w:val="both"/>
        <w:rPr/>
      </w:pPr>
      <w:r>
        <w:rPr/>
        <w:t>ПОСТАНОВЛЯЕТ:</w:t>
      </w:r>
    </w:p>
    <w:p>
      <w:pPr>
        <w:pStyle w:val="11"/>
        <w:numPr>
          <w:ilvl w:val="0"/>
          <w:numId w:val="1"/>
        </w:numPr>
        <w:shd w:val="clear" w:color="auto" w:fill="auto"/>
        <w:tabs>
          <w:tab w:val="clear" w:pos="708"/>
          <w:tab w:val="left" w:pos="972" w:leader="none"/>
        </w:tabs>
        <w:spacing w:lineRule="exact" w:line="269" w:before="0" w:after="0"/>
        <w:ind w:firstLine="700" w:start="20" w:end="20"/>
        <w:jc w:val="both"/>
        <w:rPr/>
      </w:pPr>
      <w:r>
        <w:rPr/>
        <w:t>Утвердить прилагаемое Положение о порядке муниципальных заимствований, обслуживания и управления муниципальным долгом Портбайкальского муниципального образования.</w:t>
      </w:r>
    </w:p>
    <w:p>
      <w:pPr>
        <w:pStyle w:val="11"/>
        <w:numPr>
          <w:ilvl w:val="0"/>
          <w:numId w:val="1"/>
        </w:numPr>
        <w:shd w:val="clear" w:color="auto" w:fill="auto"/>
        <w:tabs>
          <w:tab w:val="clear" w:pos="708"/>
          <w:tab w:val="left" w:pos="972" w:leader="none"/>
        </w:tabs>
        <w:spacing w:lineRule="exact" w:line="269" w:before="0" w:after="0"/>
        <w:ind w:firstLine="700" w:start="20" w:end="20"/>
        <w:jc w:val="both"/>
        <w:rPr/>
      </w:pPr>
      <w:r>
        <w:rPr/>
        <w:t xml:space="preserve">Опубликовать настоящее постановление  в </w:t>
      </w:r>
      <w:r>
        <w:rPr/>
        <w:t>печатном издании</w:t>
      </w:r>
      <w:r>
        <w:rPr/>
        <w:t xml:space="preserve"> «</w:t>
      </w:r>
      <w:r>
        <w:rPr/>
        <w:t xml:space="preserve">Портбайкальские </w:t>
      </w:r>
      <w:r>
        <w:rPr/>
        <w:t>Вест</w:t>
      </w:r>
      <w:r>
        <w:rPr/>
        <w:t>и</w:t>
      </w:r>
      <w:r>
        <w:rPr/>
        <w:t>» и разместить на официальном сайте администрации Портбайкальского муниципального образования в информационно-телекоммуникационной сети «Интернет».</w:t>
      </w:r>
    </w:p>
    <w:p>
      <w:pPr>
        <w:pStyle w:val="11"/>
        <w:numPr>
          <w:ilvl w:val="0"/>
          <w:numId w:val="1"/>
        </w:numPr>
        <w:shd w:val="clear" w:color="auto" w:fill="auto"/>
        <w:tabs>
          <w:tab w:val="clear" w:pos="708"/>
          <w:tab w:val="left" w:pos="972" w:leader="none"/>
        </w:tabs>
        <w:spacing w:lineRule="exact" w:line="269" w:before="0" w:after="0"/>
        <w:ind w:firstLine="700" w:start="20"/>
        <w:jc w:val="both"/>
        <w:rPr/>
      </w:pPr>
      <w:r>
        <mc:AlternateContent>
          <mc:Choice Requires="wps">
            <w:drawing>
              <wp:anchor distT="635" distB="0" distL="66675" distR="63500" simplePos="0" relativeHeight="2" behindDoc="0" locked="0" layoutInCell="0" allowOverlap="1">
                <wp:simplePos x="0" y="0"/>
                <wp:positionH relativeFrom="margin">
                  <wp:posOffset>4209415</wp:posOffset>
                </wp:positionH>
                <wp:positionV relativeFrom="paragraph">
                  <wp:posOffset>1393190</wp:posOffset>
                </wp:positionV>
                <wp:extent cx="920750" cy="132080"/>
                <wp:effectExtent l="0" t="0" r="0" b="0"/>
                <wp:wrapSquare wrapText="bothSides"/>
                <wp:docPr id="1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880" cy="13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1"/>
                              <w:shd w:val="clear" w:color="auto" w:fill="auto"/>
                              <w:spacing w:lineRule="exact" w:line="210" w:before="0" w:after="0"/>
                              <w:ind w:hanging="0"/>
                              <w:rPr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Н.И. Симакова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1.45pt;margin-top:109.7pt;width:72.45pt;height:10.35pt;mso-wrap-style:square;v-text-anchor:top;mso-position-horizontal-relative:margin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11"/>
                        <w:shd w:val="clear" w:color="auto" w:fill="auto"/>
                        <w:spacing w:lineRule="exact" w:line="210" w:before="0" w:after="0"/>
                        <w:ind w:hanging="0"/>
                        <w:rPr/>
                      </w:pPr>
                      <w:r>
                        <w:rPr>
                          <w:rStyle w:val="Exact"/>
                          <w:spacing w:val="0"/>
                        </w:rPr>
                        <w:t>Н.И. Симакова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distT="3810" distB="635" distL="64135" distR="63500" simplePos="0" relativeHeight="4" behindDoc="0" locked="0" layoutInCell="0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1186815</wp:posOffset>
                </wp:positionV>
                <wp:extent cx="1905000" cy="347980"/>
                <wp:effectExtent l="0" t="0" r="0" b="0"/>
                <wp:wrapTopAndBottom/>
                <wp:docPr id="2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348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1"/>
                              <w:shd w:val="clear" w:color="auto" w:fill="auto"/>
                              <w:spacing w:lineRule="exact" w:line="274" w:before="0" w:after="0"/>
                              <w:ind w:hanging="0"/>
                              <w:rPr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 xml:space="preserve">Глава </w:t>
                            </w:r>
                            <w:r>
                              <w:rPr/>
                              <w:t>Портбайкальс</w:t>
                            </w:r>
                            <w:r>
                              <w:rPr>
                                <w:rStyle w:val="Exact"/>
                                <w:spacing w:val="0"/>
                              </w:rPr>
                              <w:t>кого муниципального образования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.5pt;margin-top:93.45pt;width:149.95pt;height:27.35pt;mso-wrap-style:square;v-text-anchor:top;mso-position-horizontal-relative:margin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11"/>
                        <w:shd w:val="clear" w:color="auto" w:fill="auto"/>
                        <w:spacing w:lineRule="exact" w:line="274" w:before="0" w:after="0"/>
                        <w:ind w:hanging="0"/>
                        <w:rPr/>
                      </w:pPr>
                      <w:r>
                        <w:rPr>
                          <w:rStyle w:val="Exact"/>
                          <w:spacing w:val="0"/>
                        </w:rPr>
                        <w:t xml:space="preserve">Глава </w:t>
                      </w:r>
                      <w:r>
                        <w:rPr/>
                        <w:t>Портбайкальс</w:t>
                      </w:r>
                      <w:r>
                        <w:rPr>
                          <w:rStyle w:val="Exact"/>
                          <w:spacing w:val="0"/>
                        </w:rPr>
                        <w:t>кого муниципального образования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/>
        <w:t>Контроль за исполнением настоящего постановления оставляю за собой.</w:t>
      </w:r>
      <w:r>
        <w:br w:type="page"/>
      </w:r>
    </w:p>
    <w:p>
      <w:pPr>
        <w:pStyle w:val="11"/>
        <w:shd w:val="clear" w:color="auto" w:fill="auto"/>
        <w:spacing w:lineRule="exact" w:line="307" w:before="0" w:after="271"/>
        <w:ind w:hanging="0" w:start="4640" w:end="20"/>
        <w:jc w:val="end"/>
        <w:rPr/>
      </w:pPr>
      <w:r>
        <w:rPr/>
        <w:t xml:space="preserve">Утверждено постановлением администрации Портбайкальского муниципального образования № </w:t>
      </w:r>
      <w:r>
        <w:rPr/>
        <w:t>34</w:t>
      </w:r>
      <w:r>
        <w:rPr/>
        <w:t xml:space="preserve">  от «</w:t>
      </w:r>
      <w:r>
        <w:rPr/>
        <w:t>03</w:t>
      </w:r>
      <w:r>
        <w:rPr/>
        <w:t xml:space="preserve">» </w:t>
      </w:r>
      <w:r>
        <w:rPr/>
        <w:t>июня</w:t>
      </w:r>
      <w:r>
        <w:rPr/>
        <w:t xml:space="preserve"> 202</w:t>
      </w:r>
      <w:r>
        <w:rPr/>
        <w:t>6</w:t>
      </w:r>
      <w:r>
        <w:rPr/>
        <w:t xml:space="preserve"> г.</w:t>
      </w:r>
    </w:p>
    <w:p>
      <w:pPr>
        <w:pStyle w:val="11"/>
        <w:shd w:val="clear" w:color="auto" w:fill="auto"/>
        <w:spacing w:lineRule="exact" w:line="269" w:before="0" w:after="0"/>
        <w:ind w:hanging="0"/>
        <w:jc w:val="center"/>
        <w:rPr>
          <w:b/>
        </w:rPr>
      </w:pPr>
      <w:r>
        <w:rPr>
          <w:b/>
        </w:rPr>
        <w:t>ПОЛОЖЕНИЕ О ПОРЯДКЕ ОСУЩЕСТВЛЕНИЯ МУНИЦИПАЛЬНЫХ ЗАИМСТВОВАНИЙ, ОБСЛУЖИВАНИЯ И УПРАВЛЕНИЯ МУНИЦИПАЛЬНЫМ ДОЛГОМ П</w:t>
      </w:r>
      <w:r>
        <w:rPr>
          <w:b/>
        </w:rPr>
        <w:t xml:space="preserve">ОРТБАЙКАЛЬСКОГО </w:t>
      </w:r>
      <w:r>
        <w:rPr>
          <w:b/>
        </w:rPr>
        <w:t>МУНИЦИПАЛЬНОГО ОБРАЗОВАНИЯ</w:t>
      </w:r>
    </w:p>
    <w:p>
      <w:pPr>
        <w:pStyle w:val="11"/>
        <w:shd w:val="clear" w:color="auto" w:fill="auto"/>
        <w:spacing w:lineRule="exact" w:line="269" w:before="0" w:after="0"/>
        <w:ind w:hanging="0"/>
        <w:jc w:val="center"/>
        <w:rPr>
          <w:b/>
        </w:rPr>
      </w:pPr>
      <w:r>
        <w:rPr>
          <w:b/>
        </w:rPr>
      </w:r>
    </w:p>
    <w:p>
      <w:pPr>
        <w:pStyle w:val="11"/>
        <w:shd w:val="clear" w:color="auto" w:fill="auto"/>
        <w:spacing w:lineRule="exact" w:line="269" w:before="0" w:after="0"/>
        <w:ind w:hanging="0"/>
        <w:jc w:val="center"/>
        <w:rPr/>
      </w:pPr>
      <w:r>
        <w:rPr/>
        <w:t>1. ОБЩИЕ ПОЛОЖЕНИЯ</w:t>
      </w:r>
    </w:p>
    <w:p>
      <w:pPr>
        <w:pStyle w:val="11"/>
        <w:numPr>
          <w:ilvl w:val="0"/>
          <w:numId w:val="2"/>
        </w:numPr>
        <w:shd w:val="clear" w:color="auto" w:fill="auto"/>
        <w:tabs>
          <w:tab w:val="clear" w:pos="708"/>
          <w:tab w:val="left" w:pos="1169" w:leader="none"/>
        </w:tabs>
        <w:spacing w:lineRule="exact" w:line="269" w:before="0" w:after="240"/>
        <w:ind w:firstLine="680" w:start="20" w:end="20"/>
        <w:jc w:val="both"/>
        <w:rPr/>
      </w:pPr>
      <w:r>
        <w:rPr/>
        <w:t>Положение (далее - Порядок) разработано в соответствии с требованиями Бюджетного кодекса Российской Федерации, Федеральным законом от 06.10.2003 г. № 131-Ф</w:t>
      </w:r>
      <w:r>
        <w:rPr/>
        <w:t>З</w:t>
      </w:r>
      <w:r>
        <w:rPr/>
        <w:t xml:space="preserve"> «Об общих принципах организации местного самоуправления в Российской Федерации», Федеральным законом от 29.07.1998 г. № 136-Ф</w:t>
      </w:r>
      <w:r>
        <w:rPr/>
        <w:t>З</w:t>
      </w:r>
      <w:r>
        <w:rPr/>
        <w:t xml:space="preserve"> «Об особенностях эмиссии и обращения государственных и муниципальных ценных бумаг», Уставом Портбайкальского муниципального образования и регулирует отношения, возникающие при осуществлении администрацией Портбайкальского муниципального образования муниципальных заимствований, определяет порядок и виды привлечения заемных средств, полномочия администрации Портбайкальского муниципального образования при осуществлении муниципальных заимствований.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2600" w:leader="none"/>
        </w:tabs>
        <w:spacing w:lineRule="exact" w:line="269" w:before="0" w:after="0"/>
        <w:ind w:hanging="0" w:start="2360"/>
        <w:jc w:val="both"/>
        <w:rPr/>
      </w:pPr>
      <w:r>
        <w:rPr/>
        <w:t>МУНИЦИПАЛЬНЫЕ ЗАИМСТВОВАНИЯ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169" w:leader="none"/>
        </w:tabs>
        <w:spacing w:lineRule="exact" w:line="269" w:before="0" w:after="0"/>
        <w:ind w:firstLine="680" w:start="20" w:end="20"/>
        <w:jc w:val="both"/>
        <w:rPr/>
      </w:pPr>
      <w:r>
        <w:rPr/>
        <w:t>Муниципальные заимствования Портбайкальского муниципального образования (далее - муниципальные заимствования) - займы, осуществляемые путем выпуска ценных бумаг от имени Портбайкальского муниципального образования, и кредиты, привлекаемые в бюджет Портбайкальского муниципального образования от других бюджетов бюджетной системы Российской Федерации и от кредитных организаций, по которым возникают муниципальные долговые обязательства.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169" w:leader="none"/>
        </w:tabs>
        <w:spacing w:lineRule="exact" w:line="269" w:before="0" w:after="0"/>
        <w:ind w:firstLine="680" w:start="20" w:end="20"/>
        <w:jc w:val="both"/>
        <w:rPr/>
      </w:pPr>
      <w:r>
        <w:rPr/>
        <w:t>Муниципальные заимствования осуществляются только в форме внутренних заимствований в пределах Российской Федерации в соответствии со статьей 103 Бюджетного кодекса Российской Федерации с целью:</w:t>
      </w:r>
    </w:p>
    <w:p>
      <w:pPr>
        <w:pStyle w:val="11"/>
        <w:numPr>
          <w:ilvl w:val="0"/>
          <w:numId w:val="4"/>
        </w:numPr>
        <w:shd w:val="clear" w:color="auto" w:fill="auto"/>
        <w:tabs>
          <w:tab w:val="clear" w:pos="708"/>
          <w:tab w:val="left" w:pos="838" w:leader="none"/>
        </w:tabs>
        <w:spacing w:lineRule="exact" w:line="269" w:before="0" w:after="0"/>
        <w:ind w:firstLine="680" w:start="20"/>
        <w:jc w:val="both"/>
        <w:rPr/>
      </w:pPr>
      <w:r>
        <w:rPr/>
        <w:t>покрытия дефицита местного бюджета;</w:t>
      </w:r>
    </w:p>
    <w:p>
      <w:pPr>
        <w:pStyle w:val="11"/>
        <w:numPr>
          <w:ilvl w:val="0"/>
          <w:numId w:val="4"/>
        </w:numPr>
        <w:shd w:val="clear" w:color="auto" w:fill="auto"/>
        <w:tabs>
          <w:tab w:val="clear" w:pos="708"/>
          <w:tab w:val="left" w:pos="838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обеспечения финансирования расходов местного бюджета в пределах расходов на погашение муниципальных долговых обязательств.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169" w:leader="none"/>
        </w:tabs>
        <w:spacing w:lineRule="exact" w:line="269" w:before="0" w:after="0"/>
        <w:ind w:firstLine="680" w:start="20" w:end="20"/>
        <w:jc w:val="both"/>
        <w:rPr/>
      </w:pPr>
      <w:r>
        <w:rPr/>
        <w:t>Предельный объем муниципальных заимствований в текущем финансовом году в соответствии со статьей 106 Бюджетного кодекса Российской Федерации не должен превышать сумму, направляемую в текущем финансовом году на финансирование дефицита соответствующего бюджета и (или) погашение долговых обязательств соответствующего бюджета.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169" w:leader="none"/>
        </w:tabs>
        <w:spacing w:lineRule="exact" w:line="269" w:before="0" w:after="0"/>
        <w:ind w:firstLine="680" w:start="20" w:end="20"/>
        <w:jc w:val="both"/>
        <w:rPr/>
      </w:pPr>
      <w:r>
        <w:rPr/>
        <w:t>Муниципальные заимствования осуществляются на основании муниципальной программы внутренних заимствований.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Программа внутренних заимствований Портбайка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ru-RU" w:bidi="ar-SA"/>
        </w:rPr>
        <w:t>льс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ru-RU" w:bidi="ar-SA"/>
        </w:rPr>
        <w:t>кого</w:t>
      </w:r>
      <w:r>
        <w:rPr>
          <w:rStyle w:val="95pt"/>
        </w:rPr>
        <w:t xml:space="preserve"> </w:t>
      </w:r>
      <w:r>
        <w:rPr/>
        <w:t>муниципального образования на очередной финансовый год в соответствии со статьей 110.1 Бюджетного кодекса Российской Федерации представляет собой перечень внутренних заимствований Портбайкальского муниципального образования на очередной финансовый год с указанием объема привлечения и объема средств, направляемых на погашение основной суммы долга, по каждому виду заимствований.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Программа внутренних заимствований Портбайкальского муниципального образования на очередной финансовый год является приложением к решению Думы Портбайкальского муниципального образования о местном бюджете на очередной финансовый год.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76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Осуществление муниципальных внутренних заимствований, а также предоставление муниципальных гарантий другим заемщикам допускается только в случае утверждения решением Думы Портбайкальского муниципального образования о местном бюджете на очередной финансовый год следующих параметров:</w:t>
      </w:r>
    </w:p>
    <w:p>
      <w:pPr>
        <w:pStyle w:val="11"/>
        <w:numPr>
          <w:ilvl w:val="0"/>
          <w:numId w:val="5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предельного объема муниципального долга, который не должен превышать утвержденный общий объем доходов местного бюджета без учета утвержденного объема безвозмездных поступлений и поступлений налоговых доходов по дополнительным нормативам отчислений в соответствии со статьей 107 Бюджетного кодекса Российской Федерации;</w:t>
      </w:r>
    </w:p>
    <w:p>
      <w:pPr>
        <w:pStyle w:val="11"/>
        <w:numPr>
          <w:ilvl w:val="0"/>
          <w:numId w:val="5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верхнего предела муниципального долга, в том числе верхнего предела муниципального долга по муниципальным гарантиям в соответствии со статьей 107 Бюджетного кодекса Российской Федерации;</w:t>
      </w:r>
    </w:p>
    <w:p>
      <w:pPr>
        <w:pStyle w:val="11"/>
        <w:numPr>
          <w:ilvl w:val="0"/>
          <w:numId w:val="5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предельного объема выпуска муниципальных ценных бумаг в соответствии с требованиями статьи 114 Бюджетного кодекса Российской Федерации;</w:t>
      </w:r>
    </w:p>
    <w:p>
      <w:pPr>
        <w:pStyle w:val="11"/>
        <w:numPr>
          <w:ilvl w:val="0"/>
          <w:numId w:val="5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240"/>
        <w:ind w:firstLine="680" w:start="20" w:end="20"/>
        <w:jc w:val="both"/>
        <w:rPr/>
      </w:pPr>
      <w:r>
        <w:rPr/>
        <w:t>предельного объема расходов на обслуживание муниципального долга, который не должен превышать 15% объема расходов бюджета города, за исключением объема расходов, которые осуществляются за счет субвенций, предоставляемых из бюджетов бюджетной системы Российской Федерации в соответствии со статьей 111 Бюджетного кодекса Российской Федерации.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2755" w:leader="none"/>
        </w:tabs>
        <w:spacing w:lineRule="exact" w:line="269" w:before="0" w:after="0"/>
        <w:ind w:hanging="0" w:start="2520"/>
        <w:jc w:val="both"/>
        <w:rPr/>
      </w:pPr>
      <w:r>
        <w:rPr/>
        <w:t>ВИДЫ ДОЛГОВЫХ ОБЯЗАТЕЛЬСТВ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76" w:leader="none"/>
        </w:tabs>
        <w:spacing w:lineRule="exact" w:line="269" w:before="0" w:after="0"/>
        <w:ind w:firstLine="680" w:start="20" w:end="20"/>
        <w:jc w:val="both"/>
        <w:rPr/>
      </w:pPr>
      <w:r>
        <w:rPr/>
        <w:t>Долговые обязательства Портбайкаль</w:t>
      </w:r>
      <w:r>
        <w:rPr>
          <w:rFonts w:eastAsia="Times New Roman" w:cs="Times New Roman"/>
          <w:b w:val="false"/>
          <w:bCs w:val="false"/>
          <w:color w:val="000000"/>
          <w:kern w:val="0"/>
          <w:sz w:val="23"/>
          <w:szCs w:val="23"/>
          <w:lang w:val="ru-RU" w:eastAsia="ru-RU" w:bidi="ar-SA"/>
        </w:rPr>
        <w:t>с</w:t>
      </w:r>
      <w:r>
        <w:rPr>
          <w:rStyle w:val="95pt"/>
          <w:rFonts w:eastAsia="Times New Roman" w:cs="Times New Roman"/>
          <w:b w:val="false"/>
          <w:bCs w:val="false"/>
          <w:color w:val="000000"/>
          <w:kern w:val="0"/>
          <w:sz w:val="23"/>
          <w:szCs w:val="23"/>
          <w:lang w:val="ru-RU" w:eastAsia="ru-RU" w:bidi="ar-SA"/>
        </w:rPr>
        <w:t>кого</w:t>
      </w:r>
      <w:r>
        <w:rPr>
          <w:rStyle w:val="95pt"/>
        </w:rPr>
        <w:t xml:space="preserve"> </w:t>
      </w:r>
      <w:r>
        <w:rPr/>
        <w:t>муниципального образования (далее - долговые обязательства) в соответствии со статьей 100 Бюджетного кодекса Российской Федерации могут существовать в виде обязательств по:</w:t>
      </w:r>
    </w:p>
    <w:p>
      <w:pPr>
        <w:pStyle w:val="11"/>
        <w:numPr>
          <w:ilvl w:val="0"/>
          <w:numId w:val="6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/>
        <w:jc w:val="both"/>
        <w:rPr/>
      </w:pPr>
      <w:r>
        <w:rPr/>
        <w:t>муниципальным ценным бумагам;</w:t>
      </w:r>
    </w:p>
    <w:p>
      <w:pPr>
        <w:pStyle w:val="11"/>
        <w:numPr>
          <w:ilvl w:val="0"/>
          <w:numId w:val="6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бюджетным кредитам, привлеченным в местный бюджет от других бюджетов бюджетной системы Российской Федерации;</w:t>
      </w:r>
    </w:p>
    <w:p>
      <w:pPr>
        <w:pStyle w:val="11"/>
        <w:numPr>
          <w:ilvl w:val="0"/>
          <w:numId w:val="6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кредитам, полученным Бирюсинским</w:t>
      </w:r>
      <w:r>
        <w:rPr>
          <w:rStyle w:val="95pt"/>
        </w:rPr>
        <w:t xml:space="preserve"> </w:t>
      </w:r>
      <w:r>
        <w:rPr/>
        <w:t>муниципальным образованием от кредитных организаций;</w:t>
      </w:r>
    </w:p>
    <w:p>
      <w:pPr>
        <w:pStyle w:val="11"/>
        <w:numPr>
          <w:ilvl w:val="0"/>
          <w:numId w:val="6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/>
        <w:jc w:val="both"/>
        <w:rPr/>
      </w:pPr>
      <w:r>
        <w:rPr/>
        <w:t>муниципальным гарантиям.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Долговые обязательства Портбайкальского муниципального образования не могут существовать в иных видах, за исключением предусмотренных настоящим пунктом.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036" w:leader="none"/>
        </w:tabs>
        <w:spacing w:lineRule="exact" w:line="269" w:before="0" w:after="0"/>
        <w:ind w:firstLine="680" w:start="20"/>
        <w:jc w:val="both"/>
        <w:rPr/>
      </w:pPr>
      <w:r>
        <w:rPr/>
        <w:t>В объем муниципального долга включаются:</w:t>
      </w:r>
    </w:p>
    <w:p>
      <w:pPr>
        <w:pStyle w:val="11"/>
        <w:numPr>
          <w:ilvl w:val="0"/>
          <w:numId w:val="7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/>
        <w:jc w:val="both"/>
        <w:rPr/>
      </w:pPr>
      <w:r>
        <w:rPr/>
        <w:t>номинальная сумма долга по муниципальным ценным бумагам;</w:t>
      </w:r>
    </w:p>
    <w:p>
      <w:pPr>
        <w:pStyle w:val="11"/>
        <w:numPr>
          <w:ilvl w:val="0"/>
          <w:numId w:val="7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объем основного долга по бюджетным кредитам, привлеченным в местный бюджет;</w:t>
      </w:r>
    </w:p>
    <w:p>
      <w:pPr>
        <w:pStyle w:val="11"/>
        <w:numPr>
          <w:ilvl w:val="0"/>
          <w:numId w:val="7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объем основного долга по кредитам, полученным Бирюсинским муниципальным образованием;</w:t>
      </w:r>
    </w:p>
    <w:p>
      <w:pPr>
        <w:pStyle w:val="11"/>
        <w:numPr>
          <w:ilvl w:val="0"/>
          <w:numId w:val="7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/>
        <w:jc w:val="both"/>
        <w:rPr/>
      </w:pPr>
      <w:r>
        <w:rPr/>
        <w:t>объем обязательств по муниципальным гарантиям;</w:t>
      </w:r>
    </w:p>
    <w:p>
      <w:pPr>
        <w:pStyle w:val="11"/>
        <w:numPr>
          <w:ilvl w:val="0"/>
          <w:numId w:val="7"/>
        </w:numPr>
        <w:shd w:val="clear" w:color="auto" w:fill="auto"/>
        <w:tabs>
          <w:tab w:val="clear" w:pos="708"/>
          <w:tab w:val="left" w:pos="1015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объем иных (за исключением указанных) непогашенных долговых обязательств муниципального образования.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76" w:leader="none"/>
        </w:tabs>
        <w:spacing w:lineRule="exact" w:line="269" w:before="0" w:after="236"/>
        <w:ind w:firstLine="680" w:start="20" w:end="20"/>
        <w:jc w:val="both"/>
        <w:rPr/>
      </w:pPr>
      <w:r>
        <w:rPr/>
        <w:t>Долговые обязательства Портбайкальского муниципального образования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2080" w:leader="none"/>
        </w:tabs>
        <w:spacing w:lineRule="exact" w:line="274" w:before="0" w:after="0"/>
        <w:ind w:hanging="0" w:start="1840"/>
        <w:jc w:val="both"/>
        <w:rPr/>
      </w:pPr>
      <w:r>
        <w:rPr/>
        <w:t>ВЫПУСК МУНИЦИПАЛЬНЫХ ЦЕННЫХ БУМАГ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76" w:leader="none"/>
        </w:tabs>
        <w:spacing w:lineRule="exact" w:line="274" w:before="0" w:after="0"/>
        <w:ind w:firstLine="680" w:start="20" w:end="20"/>
        <w:jc w:val="both"/>
        <w:rPr/>
      </w:pPr>
      <w:r>
        <w:rPr/>
        <w:t>Муниципальными ценными бумагами Портбайкальского муниципального образования являются ценные бумаги, выпущенные от имени Портбайкальского муниципального образования (далее - муниципальные ценные бумаги). Эмитентом муниципальных ценных бумаг выступает администрация Портбайкальского муниципального образования.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Привлечение займов путем выпуска муниципальных ценных бумаг осуществляется в соответствии с решением Думы Портбайкальского муниципального образования о местном бюджете, а также программой муниципальных заимствований.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Направление использования денежных средств, привлекаемых в результате размещения муниципальных ценных бумаг-, утверждается решением Думы Портбайкальского муниципального образования.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Порядок выпуска, обращения и погашения муниципальных ценных бумаг определяется действующим законодательством Российской Федерации.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Генеральные условия эмиссии и обращения муниципальных ценных бумаг утверждаются муниципальным правовым актом администрации Портбайкальского муниципального образования.</w:t>
      </w:r>
    </w:p>
    <w:p>
      <w:pPr>
        <w:pStyle w:val="11"/>
        <w:shd w:val="clear" w:color="auto" w:fill="auto"/>
        <w:spacing w:lineRule="exact" w:line="269" w:before="0" w:after="0"/>
        <w:ind w:firstLine="680" w:start="20"/>
        <w:jc w:val="both"/>
        <w:rPr/>
      </w:pPr>
      <w:r>
        <w:rPr/>
        <w:t>Генеральные условия должны включать указание на:</w:t>
      </w:r>
    </w:p>
    <w:p>
      <w:pPr>
        <w:pStyle w:val="11"/>
        <w:numPr>
          <w:ilvl w:val="0"/>
          <w:numId w:val="8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вид ценных бумаг;</w:t>
      </w:r>
    </w:p>
    <w:p>
      <w:pPr>
        <w:pStyle w:val="11"/>
        <w:numPr>
          <w:ilvl w:val="0"/>
          <w:numId w:val="8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форму выпуска ценных бумаг;</w:t>
      </w:r>
    </w:p>
    <w:p>
      <w:pPr>
        <w:pStyle w:val="11"/>
        <w:numPr>
          <w:ilvl w:val="0"/>
          <w:numId w:val="8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 w:end="20"/>
        <w:jc w:val="both"/>
        <w:rPr/>
      </w:pPr>
      <w:r>
        <w:rPr/>
        <w:t>срочность данного вида ценных бумаг (краткосрочные, долгосрочные, среднесрочные);</w:t>
      </w:r>
    </w:p>
    <w:p>
      <w:pPr>
        <w:pStyle w:val="11"/>
        <w:numPr>
          <w:ilvl w:val="0"/>
          <w:numId w:val="8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валюту обязательств;</w:t>
      </w:r>
    </w:p>
    <w:p>
      <w:pPr>
        <w:pStyle w:val="11"/>
        <w:numPr>
          <w:ilvl w:val="0"/>
          <w:numId w:val="8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особенности исполнения обязательств, предусматривающих право на получение иного, чем денежные средства, имущественного эквивалента;</w:t>
      </w:r>
    </w:p>
    <w:p>
      <w:pPr>
        <w:pStyle w:val="11"/>
        <w:numPr>
          <w:ilvl w:val="0"/>
          <w:numId w:val="8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 w:end="20"/>
        <w:jc w:val="both"/>
        <w:rPr/>
      </w:pPr>
      <w:r>
        <w:rPr/>
        <w:t>ограничения (при наличии таковых) оборотоспособности ценных бумаг, а также на ограничение круга лиц, которым данные ценные бумаги могут принадлежать на праве собственности или ином вещном праве.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В соответствии с Генеральными условиями эмитент принимает муниципальный правовой акт, содержащий условия эмиссии и обращения муниципальных ценных бумаг (далее - условия эмиссии), включающие указание на: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вид ценных бумаг;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 w:end="20"/>
        <w:jc w:val="both"/>
        <w:rPr/>
      </w:pPr>
      <w:r>
        <w:rPr/>
        <w:t>минимальный и максимальный сроки обращения данного вида муниципальных ценных бумаг. Отдельные выпуски ценных бумаг могут иметь разные сроки обращения;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 w:end="20"/>
        <w:jc w:val="both"/>
        <w:rPr/>
      </w:pPr>
      <w:r>
        <w:rPr/>
        <w:t>номинальную стоимость одной ценной бумаги в рамках одного выпуска муниципальных ценных бумаг;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порядок размещения муниципальных ценных бумаг;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порядок осуществления прав, удостоверенных ценными бумагами;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/>
        <w:jc w:val="both"/>
        <w:rPr/>
      </w:pPr>
      <w:r>
        <w:rPr/>
        <w:t>размер дохода или порядок его расчета;</w:t>
      </w:r>
    </w:p>
    <w:p>
      <w:pPr>
        <w:pStyle w:val="11"/>
        <w:numPr>
          <w:ilvl w:val="0"/>
          <w:numId w:val="9"/>
        </w:numPr>
        <w:shd w:val="clear" w:color="auto" w:fill="auto"/>
        <w:tabs>
          <w:tab w:val="clear" w:pos="708"/>
          <w:tab w:val="left" w:pos="1003" w:leader="none"/>
        </w:tabs>
        <w:spacing w:lineRule="exact" w:line="269" w:before="0" w:after="0"/>
        <w:ind w:firstLine="680" w:start="20" w:end="20"/>
        <w:jc w:val="both"/>
        <w:rPr/>
      </w:pPr>
      <w:r>
        <w:rPr/>
        <w:t>иные существенные условия эмиссии, имеющие значение для возникновения, исполнения или прекращения обязательств по муниципальным ценным бумагам.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В условиях эмиссии муниципальных ценных бумаг отражаются также другие сведения, предусмотренные действующим законодательством Российской Федерации.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Муниципальный правовой акт, содержащий условия эмиссии муниципальных ценных бумаг, подлежит государственной регистрации в уполномоченном федеральном органе исполнительной власти.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Эмитент муниципальных ценных бумаг принимает муниципальный правовой акт, содержащий отчет об итогах эмиссии муниципальных ценных бумаг.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В соответствии с Генеральными условиями и условиями эмиссии эмитент принимает решение в форме муниципального правового акта об эмиссии отдельного выпуска муниципальных ценных бумаг.</w:t>
      </w:r>
    </w:p>
    <w:p>
      <w:pPr>
        <w:pStyle w:val="11"/>
        <w:numPr>
          <w:ilvl w:val="1"/>
          <w:numId w:val="3"/>
        </w:numPr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firstLine="680" w:start="20" w:end="20"/>
        <w:jc w:val="both"/>
        <w:rPr/>
      </w:pPr>
      <w:r>
        <w:rPr/>
        <w:t>Содержание решения об эмиссии отдельного выпуска муниципальных ценных бумаг определяется действующим законодательством Российской Федерации.</w:t>
      </w:r>
    </w:p>
    <w:p>
      <w:pPr>
        <w:pStyle w:val="11"/>
        <w:shd w:val="clear" w:color="auto" w:fill="auto"/>
        <w:tabs>
          <w:tab w:val="clear" w:pos="708"/>
          <w:tab w:val="left" w:pos="1217" w:leader="none"/>
        </w:tabs>
        <w:spacing w:lineRule="exact" w:line="269" w:before="0" w:after="0"/>
        <w:ind w:hanging="0" w:start="20" w:end="20"/>
        <w:jc w:val="both"/>
        <w:rPr/>
      </w:pPr>
      <w:r>
        <w:rPr/>
      </w:r>
    </w:p>
    <w:p>
      <w:pPr>
        <w:pStyle w:val="11"/>
        <w:numPr>
          <w:ilvl w:val="0"/>
          <w:numId w:val="3"/>
        </w:numPr>
        <w:shd w:val="clear" w:color="auto" w:fill="auto"/>
        <w:tabs>
          <w:tab w:val="clear" w:pos="708"/>
          <w:tab w:val="left" w:pos="1555" w:leader="none"/>
        </w:tabs>
        <w:spacing w:lineRule="exact" w:line="269" w:before="0" w:after="0"/>
        <w:ind w:hanging="0" w:start="1320" w:end="1340"/>
        <w:jc w:val="center"/>
        <w:rPr/>
      </w:pPr>
      <w:r>
        <w:rPr/>
        <w:t>КРЕДИТНЫЕ СОГЛАШЕНИЯ И ДОГОВОРЫ, В ТОМ ЧИСЛЕ О ПОЛУЧЕНИИ БЮДЖЕТНЫХ КРЕДИТОВ ОТ БЮДЖЕТОВ ДРУГИХ УРОВНЕЙ БЮДЖЕТНОЙ СИСТЕМЫ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5.1. Привлечение кредитов, в том числе бюджетных кредитов из областного бюджета, на покрытие дефицита местного бюджета, а также для погашения долговых обязательств, и заключение соответствующих кредитных соглашений и договоров осуществляется администрацией Портбайкальского муниципального образования в лице Главы администрации Портбайкальского муниципального образования в пределах программы муниципальных заимствований.</w:t>
      </w:r>
    </w:p>
    <w:p>
      <w:pPr>
        <w:pStyle w:val="11"/>
        <w:numPr>
          <w:ilvl w:val="0"/>
          <w:numId w:val="10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0"/>
        <w:ind w:firstLine="680" w:start="20" w:end="20"/>
        <w:jc w:val="both"/>
        <w:rPr/>
      </w:pPr>
      <w:r>
        <w:rPr/>
        <w:t>Сроки исполнения обязательств по кредитным договорам и соглашениям о привлечении кредитных ресурсов определяются программой заимствований и условиями заимствований.</w:t>
      </w:r>
    </w:p>
    <w:p>
      <w:pPr>
        <w:pStyle w:val="11"/>
        <w:numPr>
          <w:ilvl w:val="0"/>
          <w:numId w:val="10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240"/>
        <w:ind w:firstLine="680" w:start="20" w:end="20"/>
        <w:jc w:val="both"/>
        <w:rPr/>
      </w:pPr>
      <w:r>
        <w:rPr/>
        <w:t>Привлечение бюджетных кредитов из областного бюджета осуществляется в порядке, установленном законом Иркутской области.</w:t>
      </w:r>
    </w:p>
    <w:p>
      <w:pPr>
        <w:pStyle w:val="11"/>
        <w:shd w:val="clear" w:color="auto" w:fill="auto"/>
        <w:spacing w:lineRule="exact" w:line="269" w:before="0" w:after="0"/>
        <w:ind w:hanging="0"/>
        <w:jc w:val="center"/>
        <w:rPr/>
      </w:pPr>
      <w:r>
        <w:rPr/>
        <w:t>6. ПРЕДОСТАВЛЕНИЕ МУНИЦИПАЛЬНЫХ ГАРАНТИЙ</w:t>
      </w:r>
    </w:p>
    <w:p>
      <w:pPr>
        <w:pStyle w:val="11"/>
        <w:numPr>
          <w:ilvl w:val="0"/>
          <w:numId w:val="11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0"/>
        <w:ind w:firstLine="680" w:start="20" w:end="20"/>
        <w:jc w:val="both"/>
        <w:rPr/>
      </w:pPr>
      <w:r>
        <w:rPr/>
        <w:t>Муниципальная гарантия (далее - гарантия) представляет собой способ обеспечения администрации (далее также Гарант) гражданско-правовых обязательств, в силу которого Бирюсинское муниципальное образование дает письменное обязательство отвечать за исполнение получателем гарантии обязательства перед третьими лицами полностью или частично.</w:t>
      </w:r>
    </w:p>
    <w:p>
      <w:pPr>
        <w:pStyle w:val="11"/>
        <w:numPr>
          <w:ilvl w:val="0"/>
          <w:numId w:val="11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0"/>
        <w:ind w:firstLine="680" w:start="20" w:end="20"/>
        <w:jc w:val="both"/>
        <w:rPr/>
      </w:pPr>
      <w:r>
        <w:rPr/>
        <w:t xml:space="preserve">Гарантия предоставляется юридическим лицам на конкурсной основе с учетом требований федерального законодательства о защите конкуренции, за </w:t>
      </w:r>
      <w:r>
        <w:rPr>
          <w:rStyle w:val="0pt"/>
          <w:b w:val="false"/>
        </w:rPr>
        <w:t xml:space="preserve">исключением </w:t>
      </w:r>
      <w:r>
        <w:rPr/>
        <w:t>муниципальных унитарных предприятий (далее - получатели муниципальной гарантии), в пределах лимитов, установленных решением Думы о бюджете на соответствующий финансовый год.</w:t>
      </w:r>
    </w:p>
    <w:p>
      <w:pPr>
        <w:pStyle w:val="11"/>
        <w:numPr>
          <w:ilvl w:val="0"/>
          <w:numId w:val="11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0"/>
        <w:ind w:firstLine="680" w:start="20" w:end="20"/>
        <w:jc w:val="both"/>
        <w:rPr/>
      </w:pPr>
      <w:r>
        <w:rPr/>
        <w:t>Гарант несет субсидиарную ответственность дополнительно к ответственности должника по гарантированному им обязательству. Обязательство Гаранта перед кредиторами по гарантии ограничивается суммой основного долга в соответствии с кредитным договором или договором об открытии кредитной линии без учета уплаты процентов по кредиту, процентов по повышенной ставке, штрафов, комиссий, пени за просрочку возврата основного долга и уплаты процентов по кредитному договору либо договору об открытии кредитной линии.</w:t>
      </w:r>
    </w:p>
    <w:p>
      <w:pPr>
        <w:pStyle w:val="11"/>
        <w:numPr>
          <w:ilvl w:val="0"/>
          <w:numId w:val="11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0"/>
        <w:ind w:firstLine="680" w:start="20" w:end="20"/>
        <w:jc w:val="both"/>
        <w:rPr/>
      </w:pPr>
      <w:r>
        <w:rPr/>
        <w:t>Срок действия гарантии определяется сроком исполнения обязательств, по которым предоставлена гарантия.</w:t>
      </w:r>
    </w:p>
    <w:p>
      <w:pPr>
        <w:pStyle w:val="11"/>
        <w:numPr>
          <w:ilvl w:val="0"/>
          <w:numId w:val="11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0"/>
        <w:ind w:firstLine="680" w:start="20" w:end="20"/>
        <w:jc w:val="both"/>
        <w:rPr/>
      </w:pPr>
      <w:r>
        <w:rPr/>
        <w:t>Гарантия может быть предоставлена только тем получателям муниципальной гарантии, которые не имеют просроченной задолженности по обязательным платежам во все уровни бюджетов и внебюджетные фонды, а также по ранее предоставленным бюджетным средствам на возвратной основе.</w:t>
      </w:r>
    </w:p>
    <w:p>
      <w:pPr>
        <w:pStyle w:val="11"/>
        <w:numPr>
          <w:ilvl w:val="0"/>
          <w:numId w:val="11"/>
        </w:numPr>
        <w:shd w:val="clear" w:color="auto" w:fill="auto"/>
        <w:tabs>
          <w:tab w:val="clear" w:pos="708"/>
          <w:tab w:val="left" w:pos="1162" w:leader="none"/>
        </w:tabs>
        <w:spacing w:lineRule="exact" w:line="269" w:before="0" w:after="236"/>
        <w:ind w:firstLine="680" w:start="20" w:end="20"/>
        <w:jc w:val="both"/>
        <w:rPr/>
      </w:pPr>
      <w:r>
        <w:rPr/>
        <w:t>Обязательным условием предоставления гарантии является проведение проверки финансового состояния получателя гарантии с целью подтверждения его финансовой устойчивости, в связи с чем, получатель гарантии представляет документы, предусмотренные в договоре о предоставлении гарантии.</w:t>
      </w:r>
    </w:p>
    <w:p>
      <w:pPr>
        <w:pStyle w:val="11"/>
        <w:numPr>
          <w:ilvl w:val="0"/>
          <w:numId w:val="12"/>
        </w:numPr>
        <w:shd w:val="clear" w:color="auto" w:fill="auto"/>
        <w:tabs>
          <w:tab w:val="clear" w:pos="708"/>
          <w:tab w:val="left" w:pos="2141" w:leader="none"/>
        </w:tabs>
        <w:spacing w:lineRule="exact" w:line="274" w:before="0" w:after="0"/>
        <w:ind w:firstLine="600" w:start="1320" w:end="1340"/>
        <w:jc w:val="center"/>
        <w:rPr/>
      </w:pPr>
      <w:r>
        <w:rPr/>
        <w:t xml:space="preserve">УЧЕТ МУНИЦИПАЛЬНЫХ ЗАИМСТВОВАНИЙ. МУНИЦИПАЛЬНАЯ ДОЛГОВАЯ КНИГА </w:t>
      </w:r>
      <w:r>
        <w:rPr/>
        <w:t xml:space="preserve">ПОРТБАЙКАЛЬСКОГО </w:t>
      </w:r>
      <w:r>
        <w:rPr/>
        <w:t>МУНИЦИПАЛЬНОГО ОБРАЗОВАНИЯ</w:t>
      </w:r>
    </w:p>
    <w:p>
      <w:pPr>
        <w:pStyle w:val="11"/>
        <w:numPr>
          <w:ilvl w:val="1"/>
          <w:numId w:val="12"/>
        </w:numPr>
        <w:shd w:val="clear" w:color="auto" w:fill="auto"/>
        <w:tabs>
          <w:tab w:val="clear" w:pos="708"/>
          <w:tab w:val="left" w:pos="1162" w:leader="none"/>
        </w:tabs>
        <w:spacing w:lineRule="exact" w:line="274" w:before="0" w:after="0"/>
        <w:ind w:firstLine="680" w:start="20" w:end="20"/>
        <w:jc w:val="both"/>
        <w:rPr/>
      </w:pPr>
      <w:r>
        <w:rPr/>
        <w:t>Муниципальные заимствования в трехдневный срок с момента возникновения обязательства учитываются в муниципальной долговой книге.</w:t>
      </w:r>
    </w:p>
    <w:p>
      <w:pPr>
        <w:pStyle w:val="11"/>
        <w:numPr>
          <w:ilvl w:val="1"/>
          <w:numId w:val="12"/>
        </w:numPr>
        <w:shd w:val="clear" w:color="auto" w:fill="auto"/>
        <w:tabs>
          <w:tab w:val="clear" w:pos="708"/>
          <w:tab w:val="left" w:pos="1162" w:leader="none"/>
        </w:tabs>
        <w:spacing w:lineRule="exact" w:line="274" w:before="0" w:after="0"/>
        <w:ind w:firstLine="680" w:start="20" w:end="20"/>
        <w:jc w:val="both"/>
        <w:rPr/>
      </w:pPr>
      <w:r>
        <w:rPr/>
        <w:t>Порядок ведения долговой книги определяется постановлением администрации Портбайкальского муниципального образования.</w:t>
      </w:r>
    </w:p>
    <w:p>
      <w:pPr>
        <w:pStyle w:val="11"/>
        <w:shd w:val="clear" w:color="auto" w:fill="auto"/>
        <w:tabs>
          <w:tab w:val="clear" w:pos="708"/>
          <w:tab w:val="left" w:pos="1162" w:leader="none"/>
        </w:tabs>
        <w:spacing w:lineRule="exact" w:line="274" w:before="0" w:after="0"/>
        <w:ind w:hanging="0" w:start="700" w:end="20"/>
        <w:jc w:val="both"/>
        <w:rPr/>
      </w:pPr>
      <w:r>
        <w:rPr/>
      </w:r>
    </w:p>
    <w:p>
      <w:pPr>
        <w:pStyle w:val="11"/>
        <w:numPr>
          <w:ilvl w:val="0"/>
          <w:numId w:val="12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0"/>
        <w:ind w:hanging="1920" w:start="2880" w:end="1040"/>
        <w:rPr/>
      </w:pPr>
      <w:r>
        <w:rPr/>
        <w:t>ПРЕКРАЩЕНИЕ ДОЛГОВЫХ ОБЯЗАТЕЛЬСТВ И ИХ СПИСАНИЕ С МУНИЦИПАЛЬНОГО ДОЛГА</w:t>
      </w:r>
    </w:p>
    <w:p>
      <w:pPr>
        <w:pStyle w:val="11"/>
        <w:shd w:val="clear" w:color="auto" w:fill="auto"/>
        <w:spacing w:lineRule="exact" w:line="269" w:before="0" w:after="0"/>
        <w:ind w:firstLine="680" w:start="20" w:end="20"/>
        <w:jc w:val="both"/>
        <w:rPr/>
      </w:pPr>
      <w:r>
        <w:rPr/>
        <w:t>8.1. В случае если долговое обязательство не предъявлено к погашению (не совершены кредитором определенные условиями обязательства и муниципальными правовыми актами действия) в течение трех лет с даты, следующей за датой погашения, предусмотренной условиями долгового обязательства, или истек срок муниципальной гарантии и в иных случаях, предусмотренных статьей 115 Бюджетного кодекса Российской Федерации, указанное обязательство считается полностью прекращенным и списывается с муниципального долга, если иное не предусмотрено муниципальными правовыми актами.</w:t>
      </w:r>
    </w:p>
    <w:p>
      <w:pPr>
        <w:pStyle w:val="11"/>
        <w:numPr>
          <w:ilvl w:val="0"/>
          <w:numId w:val="13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0"/>
        <w:ind w:firstLine="680" w:start="20" w:end="20"/>
        <w:jc w:val="both"/>
        <w:rPr/>
      </w:pPr>
      <w:r>
        <w:rPr/>
        <w:t>Администрация Портбайкальского муниципального образования по истечении сроков, указанных в пункте 8.1, издает муниципальный правовой акт о списании с муниципального долга муниципальных долговых обязательств.</w:t>
      </w:r>
    </w:p>
    <w:p>
      <w:pPr>
        <w:pStyle w:val="11"/>
        <w:numPr>
          <w:ilvl w:val="0"/>
          <w:numId w:val="13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0"/>
        <w:ind w:firstLine="680" w:start="20" w:end="20"/>
        <w:jc w:val="both"/>
        <w:rPr/>
      </w:pPr>
      <w:r>
        <w:rPr/>
        <w:t>Списание с муниципального долга осуществляется посредством уменьшения объема муниципального долга по видам списываемых долговых обязательств на сумму их списания без отражения сумм списания в источниках финансирования дефицита бюджета города.</w:t>
      </w:r>
    </w:p>
    <w:p>
      <w:pPr>
        <w:pStyle w:val="11"/>
        <w:numPr>
          <w:ilvl w:val="0"/>
          <w:numId w:val="13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180"/>
        <w:ind w:firstLine="680" w:start="20" w:end="20"/>
        <w:jc w:val="both"/>
        <w:rPr/>
      </w:pPr>
      <w:r>
        <w:rPr/>
        <w:t>Выпуски муниципальных ценных бумаг, выкупленные в полном объеме эмитентом в соответствии с условиями выпуска муниципальных ценных бумаг до наступления даты погашения, могут быть признаны по решению эмитента досрочно погашенными.</w:t>
      </w:r>
    </w:p>
    <w:p>
      <w:pPr>
        <w:pStyle w:val="11"/>
        <w:shd w:val="clear" w:color="auto" w:fill="auto"/>
        <w:spacing w:lineRule="exact" w:line="269" w:before="0" w:after="0"/>
        <w:ind w:hanging="0" w:start="20"/>
        <w:jc w:val="center"/>
        <w:rPr/>
      </w:pPr>
      <w:r>
        <w:rPr/>
        <w:t>9. РЕСТРУКТУРИЗАЦИЯ ДОЛГА</w:t>
      </w:r>
    </w:p>
    <w:p>
      <w:pPr>
        <w:pStyle w:val="11"/>
        <w:numPr>
          <w:ilvl w:val="0"/>
          <w:numId w:val="14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0"/>
        <w:ind w:firstLine="680" w:start="20" w:end="20"/>
        <w:jc w:val="both"/>
        <w:rPr/>
      </w:pPr>
      <w:r>
        <w:rPr/>
        <w:t>Под реструктуризацией долга понимается основанное на соглашении прекращение долговых обязательств, составляющих муниципальный долг, с заменой указанных долговых обязательств иными долговыми обязательствами, предусматривающими другие условия обслуживания и погашения обязательств.</w:t>
      </w:r>
    </w:p>
    <w:p>
      <w:pPr>
        <w:pStyle w:val="11"/>
        <w:numPr>
          <w:ilvl w:val="0"/>
          <w:numId w:val="14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0"/>
        <w:ind w:firstLine="680" w:start="20" w:end="20"/>
        <w:jc w:val="both"/>
        <w:rPr/>
      </w:pPr>
      <w:r>
        <w:rPr/>
        <w:t>Реструктуризация долга может быть осуществлена с частичным списанием (сокращением) суммы основного долга.</w:t>
      </w:r>
    </w:p>
    <w:p>
      <w:pPr>
        <w:pStyle w:val="11"/>
        <w:numPr>
          <w:ilvl w:val="0"/>
          <w:numId w:val="14"/>
        </w:numPr>
        <w:shd w:val="clear" w:color="auto" w:fill="auto"/>
        <w:tabs>
          <w:tab w:val="clear" w:pos="708"/>
          <w:tab w:val="left" w:pos="1192" w:leader="none"/>
        </w:tabs>
        <w:spacing w:lineRule="exact" w:line="269" w:before="0" w:after="0"/>
        <w:ind w:firstLine="680" w:start="20" w:end="20"/>
        <w:jc w:val="both"/>
        <w:rPr/>
      </w:pPr>
      <w:r>
        <w:rPr/>
        <w:t>Сумма расходов на обслуживание деструктурируемого долга не включается в объем расходов на обслуживание долгового обязательства в текущем финансовом году, если указанная сумма включается в общий объем деструктурируемых обязательств.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1.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0">
    <w:lvl w:ilvl="0">
      <w:start w:val="2"/>
      <w:numFmt w:val="decimal"/>
      <w:lvlText w:val="5.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1">
    <w:lvl w:ilvl="0">
      <w:start w:val="1"/>
      <w:numFmt w:val="decimal"/>
      <w:lvlText w:val="6.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2">
    <w:lvl w:ilvl="0">
      <w:start w:val="7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3">
    <w:lvl w:ilvl="0">
      <w:start w:val="2"/>
      <w:numFmt w:val="decimal"/>
      <w:lvlText w:val="8.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4">
    <w:lvl w:ilvl="0">
      <w:start w:val="1"/>
      <w:numFmt w:val="decimal"/>
      <w:lvlText w:val="9.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3"/>
        <w:szCs w:val="23"/>
        <w:u w:val="none"/>
        <w:lang w:val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1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val="0066CC"/>
      <w:u w:val="single"/>
    </w:rPr>
  </w:style>
  <w:style w:type="character" w:styleId="Exact" w:customStyle="1">
    <w:name w:val="Основной текст Exact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1"/>
      <w:sz w:val="21"/>
      <w:szCs w:val="21"/>
      <w:u w:val="none"/>
    </w:rPr>
  </w:style>
  <w:style w:type="character" w:styleId="2" w:customStyle="1">
    <w:name w:val="Основной текст (2)_"/>
    <w:basedOn w:val="DefaultParagraphFont"/>
    <w:link w:val="2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24pt" w:customStyle="1">
    <w:name w:val="Основной текст (2) + Интервал 4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80"/>
      <w:w w:val="100"/>
      <w:sz w:val="30"/>
      <w:szCs w:val="30"/>
      <w:u w:val="none"/>
      <w:lang w:val="ru-RU"/>
    </w:rPr>
  </w:style>
  <w:style w:type="character" w:styleId="1" w:customStyle="1">
    <w:name w:val="Заголовок №1_"/>
    <w:basedOn w:val="DefaultParagraphFont"/>
    <w:link w:val="1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9"/>
      <w:szCs w:val="39"/>
      <w:u w:val="none"/>
    </w:rPr>
  </w:style>
  <w:style w:type="character" w:styleId="Style14" w:customStyle="1">
    <w:name w:val="Основной текст_"/>
    <w:basedOn w:val="DefaultParagraphFont"/>
    <w:link w:val="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3"/>
      <w:szCs w:val="23"/>
      <w:u w:val="none"/>
    </w:rPr>
  </w:style>
  <w:style w:type="character" w:styleId="95pt" w:customStyle="1">
    <w:name w:val="Основной текст + 9;5 pt;Полужирный"/>
    <w:basedOn w:val="Style1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/>
    </w:rPr>
  </w:style>
  <w:style w:type="character" w:styleId="0pt" w:customStyle="1">
    <w:name w:val="Основной текст + Полужирный;Интервал 0 pt"/>
    <w:basedOn w:val="Style1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10"/>
      <w:w w:val="100"/>
      <w:sz w:val="23"/>
      <w:szCs w:val="23"/>
      <w:u w:val="none"/>
      <w:lang w:val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810597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11" w:customStyle="1">
    <w:name w:val="Основной текст1"/>
    <w:basedOn w:val="Normal"/>
    <w:link w:val="Style14"/>
    <w:qFormat/>
    <w:pPr>
      <w:shd w:val="clear" w:color="auto" w:fill="FFFFFF"/>
      <w:spacing w:lineRule="atLeast" w:line="0" w:before="480" w:after="300"/>
      <w:ind w:hanging="1920"/>
    </w:pPr>
    <w:rPr>
      <w:rFonts w:ascii="Times New Roman" w:hAnsi="Times New Roman" w:eastAsia="Times New Roman" w:cs="Times New Roman"/>
      <w:sz w:val="23"/>
      <w:szCs w:val="23"/>
    </w:rPr>
  </w:style>
  <w:style w:type="paragraph" w:styleId="21" w:customStyle="1">
    <w:name w:val="Основной текст (2)"/>
    <w:basedOn w:val="Normal"/>
    <w:link w:val="2"/>
    <w:qFormat/>
    <w:pPr>
      <w:shd w:val="clear" w:color="auto" w:fill="FFFFFF"/>
      <w:spacing w:lineRule="exact" w:line="360"/>
      <w:jc w:val="center"/>
    </w:pPr>
    <w:rPr>
      <w:rFonts w:ascii="Times New Roman" w:hAnsi="Times New Roman" w:eastAsia="Times New Roman" w:cs="Times New Roman"/>
      <w:b/>
      <w:bCs/>
      <w:sz w:val="30"/>
      <w:szCs w:val="30"/>
    </w:rPr>
  </w:style>
  <w:style w:type="paragraph" w:styleId="12" w:customStyle="1">
    <w:name w:val="Заголовок №1"/>
    <w:basedOn w:val="Normal"/>
    <w:link w:val="1"/>
    <w:qFormat/>
    <w:pPr>
      <w:shd w:val="clear" w:color="auto" w:fill="FFFFFF"/>
      <w:spacing w:lineRule="atLeast" w:line="0" w:before="240" w:after="480"/>
      <w:jc w:val="center"/>
      <w:outlineLvl w:val="0"/>
    </w:pPr>
    <w:rPr>
      <w:rFonts w:ascii="Times New Roman" w:hAnsi="Times New Roman" w:eastAsia="Times New Roman" w:cs="Times New Roman"/>
      <w:b/>
      <w:bCs/>
      <w:sz w:val="39"/>
      <w:szCs w:val="39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810597"/>
    <w:pPr/>
    <w:rPr>
      <w:rFonts w:ascii="Segoe UI" w:hAnsi="Segoe UI" w:cs="Segoe UI"/>
      <w:sz w:val="18"/>
      <w:szCs w:val="18"/>
    </w:rPr>
  </w:style>
  <w:style w:type="paragraph" w:styleId="user2">
    <w:name w:val="Содержимое врезки (user)"/>
    <w:basedOn w:val="Normal"/>
    <w:qFormat/>
    <w:pPr/>
    <w:rPr/>
  </w:style>
  <w:style w:type="paragraph" w:styleId="Style18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LibreOffice/26.2.1.2$Windows_X86_64 LibreOffice_project/620$Build-2</Application>
  <AppVersion>15.0000</AppVersion>
  <Pages>6</Pages>
  <Words>1750</Words>
  <Characters>13587</Characters>
  <CharactersWithSpaces>15178</CharactersWithSpaces>
  <Paragraphs>96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2020-11-18T04:29:00Z</dcterms:created>
  <dc:creator>я</dc:creator>
  <dc:description/>
  <dc:language>ru-RU</dc:language>
  <cp:lastModifiedBy/>
  <cp:lastPrinted>2026-06-08T15:29:45Z</cp:lastPrinted>
  <dcterms:modified xsi:type="dcterms:W3CDTF">2026-06-08T16:22:32Z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