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AC69B" w14:textId="39822C97" w:rsidR="006D56CC" w:rsidRPr="00AA2D4D" w:rsidRDefault="003E0C1C" w:rsidP="003E0C1C">
      <w:pPr>
        <w:pStyle w:val="ConsPlusNormal"/>
        <w:tabs>
          <w:tab w:val="left" w:pos="5529"/>
        </w:tabs>
        <w:ind w:firstLine="5529"/>
        <w:rPr>
          <w:rFonts w:ascii="Times New Roman" w:hAnsi="Times New Roman" w:cs="Times New Roman"/>
          <w:sz w:val="24"/>
          <w:szCs w:val="24"/>
        </w:rPr>
      </w:pPr>
      <w:r w:rsidRPr="00AA2D4D">
        <w:rPr>
          <w:rFonts w:ascii="Times New Roman" w:hAnsi="Times New Roman" w:cs="Times New Roman"/>
          <w:sz w:val="24"/>
          <w:szCs w:val="24"/>
        </w:rPr>
        <w:t>Приложение</w:t>
      </w:r>
      <w:r w:rsidR="00F76259" w:rsidRPr="00AA2D4D">
        <w:rPr>
          <w:rFonts w:ascii="Times New Roman" w:hAnsi="Times New Roman" w:cs="Times New Roman"/>
          <w:sz w:val="24"/>
          <w:szCs w:val="24"/>
        </w:rPr>
        <w:t xml:space="preserve"> </w:t>
      </w:r>
      <w:r w:rsidR="00AA2D4D" w:rsidRPr="00AA2D4D">
        <w:rPr>
          <w:rFonts w:ascii="Times New Roman" w:hAnsi="Times New Roman" w:cs="Times New Roman"/>
          <w:sz w:val="24"/>
          <w:szCs w:val="24"/>
        </w:rPr>
        <w:t>6</w:t>
      </w:r>
      <w:r w:rsidR="00833380">
        <w:rPr>
          <w:rFonts w:ascii="Times New Roman" w:hAnsi="Times New Roman" w:cs="Times New Roman"/>
          <w:sz w:val="24"/>
          <w:szCs w:val="24"/>
        </w:rPr>
        <w:t>.1</w:t>
      </w:r>
    </w:p>
    <w:p w14:paraId="334941C4" w14:textId="77777777" w:rsidR="005D76CF" w:rsidRPr="0070561F" w:rsidRDefault="003E0C1C" w:rsidP="005D76CF">
      <w:pPr>
        <w:pStyle w:val="ConsPlusNormal"/>
        <w:ind w:left="5529" w:hanging="142"/>
        <w:jc w:val="both"/>
        <w:rPr>
          <w:rFonts w:ascii="Times New Roman" w:hAnsi="Times New Roman" w:cs="Times New Roman"/>
          <w:sz w:val="24"/>
          <w:szCs w:val="24"/>
        </w:rPr>
      </w:pPr>
      <w:r w:rsidRPr="00AA2D4D">
        <w:rPr>
          <w:rFonts w:ascii="Times New Roman" w:hAnsi="Times New Roman" w:cs="Times New Roman"/>
          <w:sz w:val="24"/>
          <w:szCs w:val="24"/>
        </w:rPr>
        <w:t xml:space="preserve">  </w:t>
      </w:r>
      <w:r w:rsidR="005D76CF" w:rsidRPr="0070561F">
        <w:rPr>
          <w:rFonts w:ascii="Times New Roman" w:hAnsi="Times New Roman" w:cs="Times New Roman"/>
          <w:sz w:val="24"/>
          <w:szCs w:val="24"/>
        </w:rPr>
        <w:t>к решению  Думы Слюдянского муниципального района «О внесении изменений в решение думы Слюдянского муниципального района "О бюджете Слюдянского муниципального района на 2023 год и плановый период 2024 и 2025 годов"</w:t>
      </w:r>
    </w:p>
    <w:p w14:paraId="1C6CBF31" w14:textId="37E0CC74" w:rsidR="005D76CF" w:rsidRPr="0070561F" w:rsidRDefault="005D76CF" w:rsidP="005D76CF">
      <w:pPr>
        <w:pStyle w:val="ConsPlusNormal"/>
        <w:ind w:left="5529" w:hanging="142"/>
        <w:jc w:val="both"/>
        <w:rPr>
          <w:rFonts w:ascii="Times New Roman" w:hAnsi="Times New Roman" w:cs="Times New Roman"/>
          <w:sz w:val="24"/>
          <w:szCs w:val="24"/>
        </w:rPr>
      </w:pPr>
      <w:r w:rsidRPr="0070561F">
        <w:rPr>
          <w:rFonts w:ascii="Times New Roman" w:hAnsi="Times New Roman" w:cs="Times New Roman"/>
          <w:sz w:val="24"/>
          <w:szCs w:val="24"/>
        </w:rPr>
        <w:t xml:space="preserve">  </w:t>
      </w:r>
      <w:r w:rsidR="00125FFB" w:rsidRPr="00125FFB">
        <w:rPr>
          <w:rFonts w:ascii="Times New Roman" w:hAnsi="Times New Roman" w:cs="Times New Roman"/>
          <w:sz w:val="24"/>
          <w:szCs w:val="24"/>
        </w:rPr>
        <w:t xml:space="preserve">от 15 декабря 2023 г. № 65 – VII </w:t>
      </w:r>
      <w:proofErr w:type="spellStart"/>
      <w:r w:rsidR="00125FFB" w:rsidRPr="00125FFB">
        <w:rPr>
          <w:rFonts w:ascii="Times New Roman" w:hAnsi="Times New Roman" w:cs="Times New Roman"/>
          <w:sz w:val="24"/>
          <w:szCs w:val="24"/>
        </w:rPr>
        <w:t>рд</w:t>
      </w:r>
      <w:bookmarkStart w:id="0" w:name="_GoBack"/>
      <w:bookmarkEnd w:id="0"/>
      <w:proofErr w:type="spellEnd"/>
    </w:p>
    <w:p w14:paraId="006DE609" w14:textId="19B797DA" w:rsidR="00454D58" w:rsidRPr="00AA2D4D" w:rsidRDefault="00454D58" w:rsidP="005D76CF">
      <w:pPr>
        <w:pStyle w:val="ConsPlusNormal"/>
        <w:ind w:left="5529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1D04A5FE" w14:textId="543AD06F" w:rsidR="009A3C31" w:rsidRDefault="009A3C31" w:rsidP="009A3C3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A2D4D">
        <w:rPr>
          <w:rFonts w:ascii="Times New Roman" w:hAnsi="Times New Roman" w:cs="Times New Roman"/>
          <w:sz w:val="24"/>
          <w:szCs w:val="24"/>
        </w:rPr>
        <w:t xml:space="preserve">ПОРЯДОК ОПРЕДЕЛЕНИЯ РАСЧЕТНОГО ОБЪЕМА ДОХОДНЫХ ИСТОЧНИКОВ И РАСЧЕТНОГО ОБЪЕМА РАСХОДНЫХ ОБЯЗАТЕЛЬСТВ ПОСЕЛЕНИЙ </w:t>
      </w:r>
      <w:r w:rsidR="00FE302E" w:rsidRPr="00AA2D4D">
        <w:rPr>
          <w:rFonts w:ascii="Times New Roman" w:hAnsi="Times New Roman" w:cs="Times New Roman"/>
          <w:sz w:val="24"/>
          <w:szCs w:val="24"/>
        </w:rPr>
        <w:t>СЛЮДЯНСКОГО МУНИЦИПАЛЬНОГО РАЙОНА</w:t>
      </w:r>
      <w:r w:rsidR="008333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5B0EC8" w14:textId="5D45D352" w:rsidR="00833380" w:rsidRPr="00AA2D4D" w:rsidRDefault="00833380" w:rsidP="009A3C3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ПЛАНОВЫЙ ПЕРИОД 2024 И 2025 ГОДОВ</w:t>
      </w:r>
    </w:p>
    <w:p w14:paraId="5660D125" w14:textId="77777777" w:rsidR="009A3C31" w:rsidRPr="00AA2D4D" w:rsidRDefault="009A3C31" w:rsidP="009A3C3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5B446A68" w14:textId="77777777" w:rsidR="009A3C31" w:rsidRPr="00AA2D4D" w:rsidRDefault="009A3C31" w:rsidP="006B78C3">
      <w:pPr>
        <w:shd w:val="clear" w:color="auto" w:fill="FFFFFF"/>
        <w:spacing w:after="0" w:line="322" w:lineRule="exact"/>
        <w:ind w:right="62" w:firstLine="851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Определение показателей для расчета  дотации на выравнивание бюджетной обеспеченности </w:t>
      </w:r>
      <w:r w:rsidR="00FE302E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поселений, предоставляемой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из бюджета Слюдянского муниципального района</w:t>
      </w:r>
      <w:r w:rsidR="0087149B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поселениям Слюдянского муниципального района</w:t>
      </w:r>
      <w:r w:rsidR="004817BF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(далее – дотация)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, за счет средств субвенции</w:t>
      </w:r>
      <w:r w:rsidR="00FE302E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на осуществление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 Иркутской области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,</w:t>
      </w:r>
      <w:r w:rsidR="00FE302E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бюджетов поселений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7149B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осуществляется </w:t>
      </w:r>
      <w:r w:rsidR="00FE302E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в соответствии с Законом Иркутской области </w:t>
      </w:r>
      <w:r w:rsidR="0087149B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от </w:t>
      </w:r>
      <w:r w:rsidR="00250878" w:rsidRPr="00AA2D4D">
        <w:rPr>
          <w:rFonts w:ascii="Times New Roman" w:hAnsi="Times New Roman" w:cs="Times New Roman"/>
          <w:spacing w:val="-6"/>
          <w:sz w:val="24"/>
          <w:szCs w:val="24"/>
        </w:rPr>
        <w:t>30 ноября 2021</w:t>
      </w:r>
      <w:r w:rsidR="00E508CC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50878" w:rsidRPr="00AA2D4D">
        <w:rPr>
          <w:rFonts w:ascii="Times New Roman" w:hAnsi="Times New Roman" w:cs="Times New Roman"/>
          <w:spacing w:val="-6"/>
          <w:sz w:val="24"/>
          <w:szCs w:val="24"/>
        </w:rPr>
        <w:t>года</w:t>
      </w:r>
      <w:r w:rsidR="0087149B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№</w:t>
      </w:r>
      <w:r w:rsidR="00250878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121-оз</w:t>
      </w:r>
      <w:r w:rsidR="00312EF0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наделении органов</w:t>
      </w:r>
      <w:r w:rsidR="0087149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самоуправления   муниципальных</w:t>
      </w:r>
      <w:r w:rsidR="001A5DE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районов</w:t>
      </w:r>
      <w:r w:rsidR="001A5DE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Иркутской</w:t>
      </w:r>
      <w:r w:rsidR="00312EF0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</w:t>
      </w:r>
      <w:r w:rsidR="00312EF0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государственными</w:t>
      </w:r>
      <w:r w:rsidR="001A5DE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полномочиями по расчету и предоставлению</w:t>
      </w:r>
      <w:r w:rsidR="0087149B" w:rsidRPr="00AA2D4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дотаций    на    выравнивание     бюджетной</w:t>
      </w:r>
      <w:r w:rsidR="0087149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обеспеченности</w:t>
      </w:r>
      <w:r w:rsidR="001A5DE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поселений, входящих</w:t>
      </w:r>
      <w:r w:rsidR="001A5DE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7149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муниципального района Иркутской</w:t>
      </w:r>
      <w:r w:rsidR="0087149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области, бюджетам поселений»</w:t>
      </w:r>
      <w:r w:rsidR="0087149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на основании данных, предст</w:t>
      </w:r>
      <w:r w:rsidR="001A5DEB" w:rsidRPr="00AA2D4D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вленных</w:t>
      </w:r>
      <w:r w:rsidR="00312EF0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органами местного самоуправления муниципальных образований</w:t>
      </w:r>
      <w:r w:rsidR="0087149B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Слюдянского муниципального района</w:t>
      </w:r>
      <w:r w:rsidR="006B78C3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12EF0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в оценке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 по состоянию </w:t>
      </w:r>
      <w:r w:rsidR="001C5248" w:rsidRPr="00AA2D4D">
        <w:rPr>
          <w:rFonts w:ascii="Times New Roman" w:hAnsi="Times New Roman" w:cs="Times New Roman"/>
          <w:spacing w:val="-6"/>
          <w:sz w:val="24"/>
          <w:szCs w:val="24"/>
        </w:rPr>
        <w:t>на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1 октября 202</w:t>
      </w:r>
      <w:r w:rsidR="00CB1815" w:rsidRPr="00AA2D4D">
        <w:rPr>
          <w:rFonts w:ascii="Times New Roman" w:hAnsi="Times New Roman" w:cs="Times New Roman"/>
          <w:spacing w:val="-6"/>
          <w:sz w:val="24"/>
          <w:szCs w:val="24"/>
        </w:rPr>
        <w:t>2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года</w:t>
      </w:r>
      <w:r w:rsidR="00EA4B77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по форме, утвержденной приказом министерства финансов Иркутской области от 25 сентября 2019 года № 53н-мпр</w:t>
      </w:r>
      <w:r w:rsidR="00F11596" w:rsidRPr="00AA2D4D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6AB2FC2F" w14:textId="5E9613F4" w:rsidR="009A3C31" w:rsidRPr="00AA2D4D" w:rsidRDefault="009A3C31" w:rsidP="001A5D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Расчетный объем доходных источников, которые могут быть направлены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br/>
      </w:r>
      <w:r w:rsidRPr="00AA2D4D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-ым поселением, входящим в состав </w:t>
      </w:r>
      <w:r w:rsidR="00312EF0" w:rsidRPr="00AA2D4D">
        <w:rPr>
          <w:rFonts w:ascii="Times New Roman" w:hAnsi="Times New Roman" w:cs="Times New Roman"/>
          <w:spacing w:val="-6"/>
          <w:sz w:val="24"/>
          <w:szCs w:val="24"/>
        </w:rPr>
        <w:t>Слюдянского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муниципального района, на исполнение расходных обязательств на плановый период 202</w:t>
      </w:r>
      <w:r w:rsidR="00FA5B3F" w:rsidRPr="00AA2D4D">
        <w:rPr>
          <w:rFonts w:ascii="Times New Roman" w:hAnsi="Times New Roman" w:cs="Times New Roman"/>
          <w:spacing w:val="-6"/>
          <w:sz w:val="24"/>
          <w:szCs w:val="24"/>
        </w:rPr>
        <w:t>4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и 202</w:t>
      </w:r>
      <w:r w:rsidR="00FA5B3F" w:rsidRPr="00AA2D4D">
        <w:rPr>
          <w:rFonts w:ascii="Times New Roman" w:hAnsi="Times New Roman" w:cs="Times New Roman"/>
          <w:spacing w:val="-6"/>
          <w:sz w:val="24"/>
          <w:szCs w:val="24"/>
        </w:rPr>
        <w:t>5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годов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 xml:space="preserve"> (П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pacing w:val="-6"/>
            <w:sz w:val="24"/>
            <w:szCs w:val="24"/>
          </w:rPr>
          <m:t>)</m:t>
        </m:r>
      </m:oMath>
      <w:r w:rsidRPr="00AA2D4D">
        <w:rPr>
          <w:rFonts w:ascii="Times New Roman" w:hAnsi="Times New Roman" w:cs="Times New Roman"/>
          <w:spacing w:val="-6"/>
          <w:sz w:val="24"/>
          <w:szCs w:val="24"/>
        </w:rPr>
        <w:t>, определяется по формуле:</w:t>
      </w:r>
    </w:p>
    <w:p w14:paraId="6F818032" w14:textId="77777777" w:rsidR="009A3C31" w:rsidRPr="00AA2D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561FF84C" w14:textId="77777777" w:rsidR="009A3C31" w:rsidRPr="00AA2D4D" w:rsidRDefault="009A3C31" w:rsidP="009A3C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pacing w:val="-6"/>
          <w:sz w:val="24"/>
          <w:szCs w:val="24"/>
        </w:rPr>
      </w:pPr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                                                            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П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pacing w:val="-6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ННД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</m:oMath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>, где</w:t>
      </w:r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ab/>
        <w:t xml:space="preserve">                       </w:t>
      </w:r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ab/>
        <w:t>(1)</w:t>
      </w:r>
    </w:p>
    <w:p w14:paraId="23855873" w14:textId="77777777" w:rsidR="009A3C31" w:rsidRPr="00AA2D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pacing w:val="-6"/>
          <w:sz w:val="24"/>
          <w:szCs w:val="24"/>
        </w:rPr>
      </w:pPr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</w:t>
      </w:r>
    </w:p>
    <w:p w14:paraId="4D9EE947" w14:textId="77777777" w:rsidR="009A3C31" w:rsidRPr="00AA2D4D" w:rsidRDefault="00125FFB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pacing w:val="-6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ННД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</m:oMath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– прогноз налоговых, неналоговых доходов (без учета акцизов по подакцизным товарам (продукции, производимым на территории Российской Федерации), определяемый на уровне оценки доходов на очередной финансовый год 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noBreakHyphen/>
        <w:t>го поселения, за исключением налога на доходы физических лиц (далее – НДФЛ). Для поселений, не имеющих рост</w:t>
      </w:r>
      <w:r w:rsidR="008E2E63" w:rsidRPr="00AA2D4D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поступлений по кассовому исполнению по состоянию на отчетную дату текущего года к аналогичному периоду прошлого года, НДФЛ принимается на уровне фактического исполнения за отчетный год с учетом темпа роста от кассового исполнения по состоянию на отчетную дату текущего года к аналогичному периоду прошлого года не менее оценки доходов 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noBreakHyphen/>
        <w:t xml:space="preserve">го поселения на очередной финансовый год. В иных случаях НДФЛ принимается на уровне кассового исполнения на отчетную дату текущего года и фактического поступления за 4 квартал отчетного года не менее оценки доходов на очередной финансовый год 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noBreakHyphen/>
        <w:t>го поселения.</w:t>
      </w:r>
    </w:p>
    <w:p w14:paraId="646816CB" w14:textId="3E8851A1" w:rsidR="009A3C31" w:rsidRPr="00AA2D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A2D4D">
        <w:rPr>
          <w:rFonts w:ascii="Times New Roman" w:hAnsi="Times New Roman" w:cs="Times New Roman"/>
          <w:spacing w:val="-6"/>
          <w:sz w:val="24"/>
          <w:szCs w:val="24"/>
        </w:rPr>
        <w:lastRenderedPageBreak/>
        <w:t xml:space="preserve">Расчетный объем расходных обязательств </w:t>
      </w:r>
      <w:r w:rsidRPr="00AA2D4D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="00447DB5" w:rsidRPr="00AA2D4D">
        <w:rPr>
          <w:rFonts w:ascii="Times New Roman" w:hAnsi="Times New Roman" w:cs="Times New Roman"/>
          <w:spacing w:val="-6"/>
          <w:sz w:val="24"/>
          <w:szCs w:val="24"/>
        </w:rPr>
        <w:t>-го поселения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на плановый период 202</w:t>
      </w:r>
      <w:r w:rsidR="00FA5B3F" w:rsidRPr="00AA2D4D">
        <w:rPr>
          <w:rFonts w:ascii="Times New Roman" w:hAnsi="Times New Roman" w:cs="Times New Roman"/>
          <w:spacing w:val="-6"/>
          <w:sz w:val="24"/>
          <w:szCs w:val="24"/>
        </w:rPr>
        <w:t>4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и 202</w:t>
      </w:r>
      <w:r w:rsidR="00FA5B3F" w:rsidRPr="00AA2D4D">
        <w:rPr>
          <w:rFonts w:ascii="Times New Roman" w:hAnsi="Times New Roman" w:cs="Times New Roman"/>
          <w:spacing w:val="-6"/>
          <w:sz w:val="24"/>
          <w:szCs w:val="24"/>
        </w:rPr>
        <w:t>5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годов (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 xml:space="preserve"> Р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</m:oMath>
      <w:r w:rsidRPr="00AA2D4D">
        <w:rPr>
          <w:rFonts w:ascii="Times New Roman" w:hAnsi="Times New Roman" w:cs="Times New Roman"/>
          <w:spacing w:val="-6"/>
          <w:sz w:val="24"/>
          <w:szCs w:val="24"/>
        </w:rPr>
        <w:t>) определяется по формуле:</w:t>
      </w:r>
    </w:p>
    <w:p w14:paraId="083F46F6" w14:textId="77777777" w:rsidR="009A3C31" w:rsidRPr="00AA2D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7E91FD57" w14:textId="77777777" w:rsidR="009A3C31" w:rsidRPr="00AA2D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pacing w:val="-6"/>
          <w:sz w:val="24"/>
          <w:szCs w:val="24"/>
        </w:rPr>
      </w:pPr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                                               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Р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pacing w:val="-6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pacing w:val="-6"/>
                <w:sz w:val="24"/>
                <w:szCs w:val="24"/>
              </w:rPr>
              <m:t>ПР</m:t>
            </m:r>
          </m:e>
          <m:sub>
            <m:r>
              <w:rPr>
                <w:rFonts w:ascii="Cambria Math" w:eastAsiaTheme="minorEastAsia" w:hAnsi="Cambria Math" w:cs="Times New Roman"/>
                <w:spacing w:val="-6"/>
                <w:sz w:val="24"/>
                <w:szCs w:val="24"/>
              </w:rPr>
              <m:t>j</m:t>
            </m:r>
          </m:sub>
        </m:sSub>
      </m:oMath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 , где                               </w:t>
      </w:r>
      <w:r w:rsidR="00312EF0"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 </w:t>
      </w:r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(2)</w:t>
      </w:r>
    </w:p>
    <w:p w14:paraId="41B0F8BA" w14:textId="77777777" w:rsidR="009A3C31" w:rsidRPr="00AA2D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3D42D6CE" w14:textId="0EB06D1A" w:rsidR="00E17A94" w:rsidRPr="00AA2D4D" w:rsidRDefault="00125FFB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pacing w:val="-6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ПР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j</m:t>
            </m:r>
          </m:sub>
        </m:sSub>
      </m:oMath>
      <w:r w:rsidR="009A3C31"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- прогноз объема расходов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-го поселения </w:t>
      </w:r>
      <w:r w:rsidR="00E17A94" w:rsidRPr="00AA2D4D">
        <w:rPr>
          <w:rFonts w:ascii="Times New Roman" w:hAnsi="Times New Roman" w:cs="Times New Roman"/>
          <w:spacing w:val="-6"/>
          <w:sz w:val="24"/>
          <w:szCs w:val="24"/>
        </w:rPr>
        <w:t>на плановый период 202</w:t>
      </w:r>
      <w:r w:rsidR="00FA5B3F" w:rsidRPr="00AA2D4D">
        <w:rPr>
          <w:rFonts w:ascii="Times New Roman" w:hAnsi="Times New Roman" w:cs="Times New Roman"/>
          <w:spacing w:val="-6"/>
          <w:sz w:val="24"/>
          <w:szCs w:val="24"/>
        </w:rPr>
        <w:t>4</w:t>
      </w:r>
      <w:r w:rsidR="00E17A94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и 202</w:t>
      </w:r>
      <w:r w:rsidR="00FA5B3F" w:rsidRPr="00AA2D4D">
        <w:rPr>
          <w:rFonts w:ascii="Times New Roman" w:hAnsi="Times New Roman" w:cs="Times New Roman"/>
          <w:spacing w:val="-6"/>
          <w:sz w:val="24"/>
          <w:szCs w:val="24"/>
        </w:rPr>
        <w:t>5</w:t>
      </w:r>
      <w:r w:rsidR="00E17A94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годов </w:t>
      </w:r>
      <w:r w:rsidR="009A3C31"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>без целевых средств</w:t>
      </w:r>
      <w:r w:rsidR="009A3C31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r w:rsidR="009A3C31"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>определяемый</w:t>
      </w:r>
      <w:r w:rsidR="00E17A94"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на основании данных оценки исполнения бюджета </w:t>
      </w:r>
      <w:r w:rsidR="00E17A94" w:rsidRPr="00AA2D4D">
        <w:rPr>
          <w:rFonts w:ascii="Times New Roman" w:eastAsiaTheme="minorEastAsia" w:hAnsi="Times New Roman" w:cs="Times New Roman"/>
          <w:spacing w:val="-6"/>
          <w:sz w:val="24"/>
          <w:szCs w:val="24"/>
          <w:lang w:val="en-US"/>
        </w:rPr>
        <w:t>j</w:t>
      </w:r>
      <w:r w:rsidR="00E17A94"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>-го поселения</w:t>
      </w:r>
      <w:r w:rsidR="00EA4B77"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, </w:t>
      </w:r>
      <w:r w:rsidR="00E17A94"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</w:t>
      </w:r>
      <w:r w:rsidR="00E17A94" w:rsidRPr="00AA2D4D">
        <w:rPr>
          <w:rFonts w:ascii="Times New Roman" w:hAnsi="Times New Roman" w:cs="Times New Roman"/>
          <w:spacing w:val="-6"/>
          <w:sz w:val="24"/>
          <w:szCs w:val="24"/>
        </w:rPr>
        <w:t>согласно приложению к настоящему Порядку.</w:t>
      </w:r>
    </w:p>
    <w:p w14:paraId="48377181" w14:textId="77777777" w:rsidR="00A51334" w:rsidRPr="00AA2D4D" w:rsidRDefault="009A3C31" w:rsidP="00FA5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</w:t>
      </w:r>
    </w:p>
    <w:p w14:paraId="120A4572" w14:textId="77777777" w:rsidR="00A51334" w:rsidRPr="00AA2D4D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2F16E940" w14:textId="77777777" w:rsidR="00A51334" w:rsidRPr="00AA2D4D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1CFF16FE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0121C07B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06E1D6A0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20F3647C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3462BC68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AE2AB53" w14:textId="77777777" w:rsidR="00361D07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74D3608F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6C2C4888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79E76989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3DC8AEC5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56E59B19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17BFEA0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CE41338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64C2360A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09A010A7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5CAB832D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3AD42B24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7887DD17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0F39B378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33A6BCAA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1EA096D5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11C73163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21BE6BCC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213A39DE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51CABB6F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69857D98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1301C1E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6DB373F3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1874354E" w14:textId="77777777" w:rsidR="00AA2D4D" w:rsidRP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3D2DA6E9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1B690D9E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283C1920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249CB958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2B7F1AD8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6359AF3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118624E3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6241CC50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11480D94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143DAB8E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1CEB1053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00DDFA4D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5ED80DA6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2190838E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013B341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ED0A831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35D14900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tbl>
      <w:tblPr>
        <w:tblStyle w:val="a8"/>
        <w:tblpPr w:leftFromText="180" w:rightFromText="180" w:vertAnchor="page" w:horzAnchor="page" w:tblpX="6358" w:tblpY="676"/>
        <w:tblW w:w="50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4"/>
      </w:tblGrid>
      <w:tr w:rsidR="000821D3" w:rsidRPr="00AA2D4D" w14:paraId="2E93B55F" w14:textId="77777777" w:rsidTr="00310EF1">
        <w:trPr>
          <w:trHeight w:val="1479"/>
        </w:trPr>
        <w:tc>
          <w:tcPr>
            <w:tcW w:w="5054" w:type="dxa"/>
          </w:tcPr>
          <w:p w14:paraId="1267AE3A" w14:textId="0B226A10" w:rsidR="000821D3" w:rsidRPr="00AA2D4D" w:rsidRDefault="000821D3" w:rsidP="00310E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A2D4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Приложение </w:t>
            </w:r>
            <w:r w:rsidRPr="00AA2D4D">
              <w:rPr>
                <w:sz w:val="24"/>
                <w:szCs w:val="24"/>
              </w:rPr>
              <w:t xml:space="preserve"> </w:t>
            </w:r>
            <w:r w:rsidRPr="00AA2D4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 Порядку определения расчетного объема доходных источников и расчетного объема расходных обязательств поселений Слюдянского  муниципального района</w:t>
            </w:r>
            <w:r w:rsidR="00C9598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на плановый период 2024 и 2025 годов</w:t>
            </w:r>
          </w:p>
        </w:tc>
      </w:tr>
    </w:tbl>
    <w:p w14:paraId="0673DCF8" w14:textId="77777777" w:rsidR="00A51334" w:rsidRPr="00AA2D4D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25F0D303" w14:textId="77777777" w:rsidR="00A51334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AA2D4D">
        <w:rPr>
          <w:rFonts w:ascii="Times New Roman" w:hAnsi="Times New Roman" w:cs="Times New Roman"/>
          <w:b/>
          <w:spacing w:val="-6"/>
          <w:sz w:val="24"/>
          <w:szCs w:val="24"/>
        </w:rPr>
        <w:t>Порядок определения расчетного объема расходных обязательств</w:t>
      </w:r>
    </w:p>
    <w:p w14:paraId="22DBE76B" w14:textId="77777777" w:rsidR="00A51334" w:rsidRPr="00AA2D4D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tbl>
      <w:tblPr>
        <w:tblW w:w="10916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992"/>
        <w:gridCol w:w="1277"/>
        <w:gridCol w:w="5250"/>
        <w:gridCol w:w="914"/>
        <w:gridCol w:w="2483"/>
      </w:tblGrid>
      <w:tr w:rsidR="00FB4E98" w:rsidRPr="00AA2D4D" w14:paraId="696C9D62" w14:textId="77777777" w:rsidTr="00FC2917">
        <w:trPr>
          <w:gridAfter w:val="1"/>
          <w:wAfter w:w="2483" w:type="dxa"/>
          <w:trHeight w:val="315"/>
        </w:trPr>
        <w:tc>
          <w:tcPr>
            <w:tcW w:w="7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49B8BA" w14:textId="77777777" w:rsidR="00FB4E98" w:rsidRPr="00AA2D4D" w:rsidRDefault="00FB4E98" w:rsidP="00DC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B500" w14:textId="77777777" w:rsidR="00FB4E98" w:rsidRPr="00AA2D4D" w:rsidRDefault="00FB4E98" w:rsidP="003E0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5D0" w:rsidRPr="00AA2D4D" w14:paraId="3407D3C6" w14:textId="77777777" w:rsidTr="00FC2917">
        <w:trPr>
          <w:gridBefore w:val="1"/>
          <w:wBefore w:w="992" w:type="dxa"/>
          <w:trHeight w:val="138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EB762" w14:textId="77777777" w:rsidR="009165D0" w:rsidRPr="00AA2D4D" w:rsidRDefault="009165D0" w:rsidP="00916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строки в отчете</w:t>
            </w:r>
          </w:p>
        </w:tc>
        <w:tc>
          <w:tcPr>
            <w:tcW w:w="5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DEAF7" w14:textId="77777777" w:rsidR="009165D0" w:rsidRPr="00AA2D4D" w:rsidRDefault="009165D0" w:rsidP="00916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группы полномочий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E0B1" w14:textId="77777777" w:rsidR="009165D0" w:rsidRPr="00AA2D4D" w:rsidRDefault="009165D0" w:rsidP="00916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Показатель приведения</w:t>
            </w:r>
          </w:p>
        </w:tc>
      </w:tr>
      <w:tr w:rsidR="006E2000" w:rsidRPr="00AA2D4D" w14:paraId="0EC3BFD3" w14:textId="77777777" w:rsidTr="00FC2917">
        <w:trPr>
          <w:gridBefore w:val="1"/>
          <w:wBefore w:w="992" w:type="dxa"/>
          <w:trHeight w:val="9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414DE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2201.2</w:t>
            </w:r>
          </w:p>
        </w:tc>
        <w:tc>
          <w:tcPr>
            <w:tcW w:w="5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5C7E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ЭЛЕКТРО-, ТЕПЛО-, ГАЗО- И ВОДОСНАБЖЕНИЕ НАСЕЛЕНИЯ, ВОДООТВЕДЕНИЕ, СНАБЖЕНИЕ НАСЕЛЕНИЯ ТОПЛИВОМ</w:t>
            </w:r>
          </w:p>
        </w:tc>
        <w:tc>
          <w:tcPr>
            <w:tcW w:w="339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6316D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принимается в объеме средств в пределах ожидаемой оценки поселений на очередной финансовый год, не менее уровня фактических расходов за отчетный год </w:t>
            </w:r>
          </w:p>
          <w:p w14:paraId="781312C3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E2000" w:rsidRPr="00AA2D4D" w14:paraId="437BCAD0" w14:textId="77777777" w:rsidTr="00FC2917">
        <w:trPr>
          <w:gridBefore w:val="1"/>
          <w:wBefore w:w="992" w:type="dxa"/>
          <w:trHeight w:val="447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2B43C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2202.2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90637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ДОРОЖНАЯ ДЕЯТЕЛЬНОСТЬ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02A19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14:paraId="6FF7DCC6" w14:textId="77777777" w:rsidTr="00FC2917">
        <w:trPr>
          <w:gridBefore w:val="1"/>
          <w:wBefore w:w="992" w:type="dxa"/>
          <w:trHeight w:val="108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05D35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2203.2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4BDAE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МАЛОИМУЩИХ ГРАЖДАН ЖИЛЫМИ ПОМЕЩЕНИЯМИ, ПЕРЕСЕЛЕНИЕ ГРАЖДАН, ОРГАНИЗАЦИЯ СТРОИТЕЛЬСТВА И СОДЕРЖАНИЕ ЖИЛИЩНОГО ФОНДА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D86C4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14:paraId="18C08405" w14:textId="77777777" w:rsidTr="00FC2917">
        <w:trPr>
          <w:gridBefore w:val="1"/>
          <w:wBefore w:w="992" w:type="dxa"/>
          <w:trHeight w:val="813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D9463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2206.2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26890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ГРАНИЦАХ МО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24AE8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14:paraId="1D152032" w14:textId="77777777" w:rsidTr="00FC2917">
        <w:trPr>
          <w:gridBefore w:val="1"/>
          <w:wBefore w:w="992" w:type="dxa"/>
          <w:trHeight w:val="477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57036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2207.2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E8A86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53EBF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14:paraId="2D277D9D" w14:textId="77777777" w:rsidTr="00FC2917">
        <w:trPr>
          <w:gridBefore w:val="1"/>
          <w:wBefore w:w="992" w:type="dxa"/>
          <w:trHeight w:val="75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0ECEA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2215.2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DA32D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ЖИТЕЛЕЙ УСЛУГАМИ ОРГАНИЗАЦИЙ КУЛЬТУРЫ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9CAD6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14:paraId="5B7CDBDE" w14:textId="77777777" w:rsidTr="00FC2917">
        <w:trPr>
          <w:gridBefore w:val="1"/>
          <w:wBefore w:w="992" w:type="dxa"/>
          <w:trHeight w:val="319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AABE7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2217.2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19BC7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1F97C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14:paraId="01A0AB8B" w14:textId="77777777" w:rsidTr="00FC2917">
        <w:trPr>
          <w:gridBefore w:val="1"/>
          <w:wBefore w:w="992" w:type="dxa"/>
          <w:trHeight w:val="120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BBAF9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2220.2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0CECE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ТЕРРИТОРИИ, В Т.Ч. В ЧАСТИ РАСХОДОВ НА ОСУЩЕСТВЛЕНИЕ ДОРОЖНОЙ ДЕЯТЕЛЬНОСТИ (РЕМОНТ ДВОРОВЫХ ТЕРРИТОРИЙ МНОГОКВАРТИРНЫХ ДОМОВ)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A8156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14:paraId="61ADCE14" w14:textId="77777777" w:rsidTr="00FC2917">
        <w:trPr>
          <w:gridBefore w:val="1"/>
          <w:wBefore w:w="992" w:type="dxa"/>
          <w:trHeight w:val="954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1AB2C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2221.2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068E3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УТВЕРЖДЕНИЕ ГЕНЕРАЛЬНЫХ ПЛАНОВ, ПРАВИЛ ЗЕМЛЕПОЛЬЗОВАНИЯ И ЗАСТРОЙКИ, ПОСТАНОВКА НА КАДАСТРОВЫЙ УЧЕТ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4B0C1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14:paraId="3229EBB8" w14:textId="77777777" w:rsidTr="00FC2917">
        <w:trPr>
          <w:gridBefore w:val="1"/>
          <w:wBefore w:w="992" w:type="dxa"/>
          <w:trHeight w:val="50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7B9AB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ABE40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ОМСУ, в т.ч.: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14AA9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14:paraId="58A78B7C" w14:textId="77777777" w:rsidTr="00FC2917">
        <w:trPr>
          <w:gridBefore w:val="1"/>
          <w:wBefore w:w="992" w:type="dxa"/>
          <w:trHeight w:val="427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4CE26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2322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3301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полномочия ОМСУ, в т.ч.:</w:t>
            </w:r>
          </w:p>
        </w:tc>
        <w:tc>
          <w:tcPr>
            <w:tcW w:w="339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691F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000" w:rsidRPr="00AA2D4D" w14:paraId="3BF02C44" w14:textId="77777777" w:rsidTr="00FC2917">
        <w:trPr>
          <w:gridBefore w:val="1"/>
          <w:wBefore w:w="992" w:type="dxa"/>
          <w:trHeight w:val="41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F059A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6B62B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ЧАСТИ ПОЛНОМОЧИЙ БЮДЖЕТУ ДРУГОГО УРОВНЯ ПО СОГЛАШЕНИЯМ, В Т.Ч.:</w:t>
            </w:r>
          </w:p>
        </w:tc>
        <w:tc>
          <w:tcPr>
            <w:tcW w:w="339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76591" w14:textId="77777777" w:rsidR="006E2000" w:rsidRPr="00AA2D4D" w:rsidRDefault="006E2000" w:rsidP="00CB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7DEF636" w14:textId="77777777" w:rsidR="00774721" w:rsidRPr="00AA2D4D" w:rsidRDefault="009A3C31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14:paraId="0F98305D" w14:textId="77777777" w:rsidR="00CB1815" w:rsidRPr="00AA2D4D" w:rsidRDefault="00CB1815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8422D8" w14:textId="77777777" w:rsidR="00CB1815" w:rsidRPr="00F11596" w:rsidRDefault="00CB1815" w:rsidP="00CB18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Мэр Слюдянского   муниципального района  </w:t>
      </w:r>
      <w:r w:rsidR="009165D0"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</w:t>
      </w: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А.Г.</w:t>
      </w:r>
      <w:r w:rsidR="009165D0"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Шульц          </w:t>
      </w:r>
    </w:p>
    <w:p w14:paraId="5439A81C" w14:textId="77777777" w:rsidR="00CB1815" w:rsidRPr="00F11596" w:rsidRDefault="00CB1815" w:rsidP="00CB18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14:paraId="42F32CBD" w14:textId="77777777" w:rsidR="00CB1815" w:rsidRPr="00F11596" w:rsidRDefault="00CB1815" w:rsidP="00CB18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Председатель Думы </w:t>
      </w:r>
    </w:p>
    <w:p w14:paraId="06081E17" w14:textId="77777777" w:rsidR="00CB1815" w:rsidRPr="00F11596" w:rsidRDefault="00CB1815" w:rsidP="009165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Слюдянского муниципального района                                                          </w:t>
      </w:r>
      <w:r w:rsidR="009165D0"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А.В. Николаев</w:t>
      </w:r>
    </w:p>
    <w:sectPr w:rsidR="00CB1815" w:rsidRPr="00F11596" w:rsidSect="00FE302E">
      <w:headerReference w:type="default" r:id="rId8"/>
      <w:pgSz w:w="11905" w:h="16838"/>
      <w:pgMar w:top="1134" w:right="850" w:bottom="709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EAB8A" w14:textId="77777777" w:rsidR="006B78C3" w:rsidRDefault="006B78C3">
      <w:pPr>
        <w:spacing w:after="0" w:line="240" w:lineRule="auto"/>
      </w:pPr>
      <w:r>
        <w:separator/>
      </w:r>
    </w:p>
  </w:endnote>
  <w:endnote w:type="continuationSeparator" w:id="0">
    <w:p w14:paraId="491314EA" w14:textId="77777777" w:rsidR="006B78C3" w:rsidRDefault="006B7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6FA27" w14:textId="77777777" w:rsidR="006B78C3" w:rsidRDefault="006B78C3">
      <w:pPr>
        <w:spacing w:after="0" w:line="240" w:lineRule="auto"/>
      </w:pPr>
      <w:r>
        <w:separator/>
      </w:r>
    </w:p>
  </w:footnote>
  <w:footnote w:type="continuationSeparator" w:id="0">
    <w:p w14:paraId="6B0A79EA" w14:textId="77777777" w:rsidR="006B78C3" w:rsidRDefault="006B7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48823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9D96EF5" w14:textId="77777777" w:rsidR="006B78C3" w:rsidRDefault="006B78C3">
        <w:pPr>
          <w:pStyle w:val="a4"/>
          <w:jc w:val="center"/>
        </w:pPr>
      </w:p>
      <w:p w14:paraId="2582AE68" w14:textId="77777777" w:rsidR="006B78C3" w:rsidRDefault="006B78C3">
        <w:pPr>
          <w:pStyle w:val="a4"/>
          <w:jc w:val="center"/>
        </w:pPr>
      </w:p>
      <w:p w14:paraId="216999EF" w14:textId="77777777" w:rsidR="006B78C3" w:rsidRPr="00077F56" w:rsidRDefault="00125FFB">
        <w:pPr>
          <w:pStyle w:val="a4"/>
          <w:jc w:val="center"/>
          <w:rPr>
            <w:rFonts w:ascii="Times New Roman" w:hAnsi="Times New Roman" w:cs="Times New Roman"/>
          </w:rPr>
        </w:pPr>
      </w:p>
    </w:sdtContent>
  </w:sdt>
  <w:p w14:paraId="6B432A9B" w14:textId="77777777" w:rsidR="006B78C3" w:rsidRDefault="006B78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C31"/>
    <w:rsid w:val="0002542C"/>
    <w:rsid w:val="0006493E"/>
    <w:rsid w:val="000821D3"/>
    <w:rsid w:val="000A4987"/>
    <w:rsid w:val="00125FFB"/>
    <w:rsid w:val="001A5DEB"/>
    <w:rsid w:val="001C5248"/>
    <w:rsid w:val="00250878"/>
    <w:rsid w:val="00312EF0"/>
    <w:rsid w:val="00353A20"/>
    <w:rsid w:val="003577A2"/>
    <w:rsid w:val="00361D07"/>
    <w:rsid w:val="003E0C1C"/>
    <w:rsid w:val="00447DB5"/>
    <w:rsid w:val="00454D58"/>
    <w:rsid w:val="004817BF"/>
    <w:rsid w:val="004C0630"/>
    <w:rsid w:val="00597F7C"/>
    <w:rsid w:val="005B1C8D"/>
    <w:rsid w:val="005D76CF"/>
    <w:rsid w:val="006B78C3"/>
    <w:rsid w:val="006C560B"/>
    <w:rsid w:val="006D56CC"/>
    <w:rsid w:val="006E2000"/>
    <w:rsid w:val="00772B1D"/>
    <w:rsid w:val="00774721"/>
    <w:rsid w:val="00821E0B"/>
    <w:rsid w:val="00833380"/>
    <w:rsid w:val="0087149B"/>
    <w:rsid w:val="008B6C7A"/>
    <w:rsid w:val="008D235A"/>
    <w:rsid w:val="008E2E63"/>
    <w:rsid w:val="009165D0"/>
    <w:rsid w:val="009A3C31"/>
    <w:rsid w:val="009A5CE2"/>
    <w:rsid w:val="00A51334"/>
    <w:rsid w:val="00AA2D4D"/>
    <w:rsid w:val="00B825FA"/>
    <w:rsid w:val="00C20778"/>
    <w:rsid w:val="00C95988"/>
    <w:rsid w:val="00CB1815"/>
    <w:rsid w:val="00CE158F"/>
    <w:rsid w:val="00DA78DB"/>
    <w:rsid w:val="00DC1738"/>
    <w:rsid w:val="00DD3C73"/>
    <w:rsid w:val="00E1440F"/>
    <w:rsid w:val="00E17A94"/>
    <w:rsid w:val="00E508CC"/>
    <w:rsid w:val="00EA4B77"/>
    <w:rsid w:val="00EC7695"/>
    <w:rsid w:val="00F11596"/>
    <w:rsid w:val="00F76259"/>
    <w:rsid w:val="00FA5B3F"/>
    <w:rsid w:val="00FB4E98"/>
    <w:rsid w:val="00FC2917"/>
    <w:rsid w:val="00FE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2D2B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C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A3C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3C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9A3C31"/>
    <w:pPr>
      <w:spacing w:after="160" w:line="259" w:lineRule="auto"/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A3C31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A3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C31"/>
  </w:style>
  <w:style w:type="paragraph" w:styleId="a6">
    <w:name w:val="Balloon Text"/>
    <w:basedOn w:val="a"/>
    <w:link w:val="a7"/>
    <w:uiPriority w:val="99"/>
    <w:semiHidden/>
    <w:unhideWhenUsed/>
    <w:rsid w:val="00FE3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302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36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C20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0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C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A3C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3C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9A3C31"/>
    <w:pPr>
      <w:spacing w:after="160" w:line="259" w:lineRule="auto"/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A3C31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A3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C31"/>
  </w:style>
  <w:style w:type="paragraph" w:styleId="a6">
    <w:name w:val="Balloon Text"/>
    <w:basedOn w:val="a"/>
    <w:link w:val="a7"/>
    <w:uiPriority w:val="99"/>
    <w:semiHidden/>
    <w:unhideWhenUsed/>
    <w:rsid w:val="00FE3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302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36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C20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1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AA227-FB70-437C-9D12-0F6604612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econ11</dc:creator>
  <cp:keywords/>
  <dc:description/>
  <cp:lastModifiedBy>Побежимова Анна Константиновна</cp:lastModifiedBy>
  <cp:revision>41</cp:revision>
  <cp:lastPrinted>2023-12-19T00:35:00Z</cp:lastPrinted>
  <dcterms:created xsi:type="dcterms:W3CDTF">2021-11-08T00:56:00Z</dcterms:created>
  <dcterms:modified xsi:type="dcterms:W3CDTF">2023-12-19T00:35:00Z</dcterms:modified>
</cp:coreProperties>
</file>