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EE364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» на 2019-2024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достигнутых за </w:t>
            </w:r>
            <w:r w:rsidR="0091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№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</w:p>
        </w:tc>
      </w:tr>
      <w:tr w:rsidR="006C5ED8" w:rsidRPr="00E20CFC" w:rsidTr="008B62E4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8B62E4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8B62E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Информация предоставлена по 7 муниципальным услугам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Исполнен, так как дефицит бюджета не превысил 10%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финансов Иркутской области 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ублей,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тыс.рублей или 99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F85EF7" w:rsidP="00723485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AB29D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 w:rsidR="00F85E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Информация предоставлена по 3 услугам</w:t>
            </w: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Процент охвата рабочих мест средствами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4239F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FF0000"/>
            <w:noWrap/>
            <w:vAlign w:val="center"/>
          </w:tcPr>
          <w:p w:rsidR="008E4663" w:rsidRPr="005E5D0B" w:rsidRDefault="00F6736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1153</w:t>
            </w:r>
          </w:p>
        </w:tc>
        <w:tc>
          <w:tcPr>
            <w:tcW w:w="1134" w:type="dxa"/>
            <w:shd w:val="clear" w:color="auto" w:fill="FF0000"/>
            <w:noWrap/>
            <w:vAlign w:val="center"/>
          </w:tcPr>
          <w:p w:rsidR="008E4663" w:rsidRPr="005E5D0B" w:rsidRDefault="00F6736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89</w:t>
            </w:r>
          </w:p>
        </w:tc>
        <w:tc>
          <w:tcPr>
            <w:tcW w:w="5534" w:type="dxa"/>
            <w:shd w:val="clear" w:color="auto" w:fill="FF0000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4239F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FF0000"/>
            <w:noWrap/>
            <w:vAlign w:val="center"/>
          </w:tcPr>
          <w:p w:rsidR="008E4663" w:rsidRPr="005E5D0B" w:rsidRDefault="00F6736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668304</w:t>
            </w:r>
          </w:p>
        </w:tc>
        <w:tc>
          <w:tcPr>
            <w:tcW w:w="1134" w:type="dxa"/>
            <w:shd w:val="clear" w:color="auto" w:fill="FF0000"/>
            <w:noWrap/>
            <w:vAlign w:val="center"/>
          </w:tcPr>
          <w:p w:rsidR="008E4663" w:rsidRPr="009C1C42" w:rsidRDefault="008E4663" w:rsidP="00F6736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</w:t>
            </w:r>
            <w:r w:rsidR="00F6736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раз</w:t>
            </w:r>
          </w:p>
        </w:tc>
        <w:tc>
          <w:tcPr>
            <w:tcW w:w="5534" w:type="dxa"/>
            <w:shd w:val="clear" w:color="auto" w:fill="FF0000"/>
            <w:noWrap/>
            <w:vAlign w:val="center"/>
          </w:tcPr>
          <w:p w:rsidR="008E4663" w:rsidRPr="00E20CFC" w:rsidRDefault="008E4663" w:rsidP="00F6736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Согласно муниципальному заданию объем печатной площади 668304 кв.см. Фактическое исполнение составляет </w:t>
            </w:r>
            <w:r w:rsidR="00F6736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% </w:t>
            </w:r>
          </w:p>
        </w:tc>
      </w:tr>
      <w:tr w:rsidR="0036238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60,5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Информация предоставлена по 4-м муниципальным услугам.</w:t>
            </w:r>
          </w:p>
        </w:tc>
      </w:tr>
      <w:tr w:rsidR="0030624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hd w:val="clear" w:color="auto" w:fill="FFFFFF" w:themeFill="background1"/>
                <w:lang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0624C" w:rsidRPr="003C6671" w:rsidRDefault="0030624C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5E0BF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E0BFB" w:rsidRPr="003C6671" w:rsidRDefault="005E0BF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lang w:eastAsia="en-US"/>
              </w:rPr>
              <w:t>457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E0BFB" w:rsidRPr="00E20CFC" w:rsidRDefault="005E0BFB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Обратный показ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атель</w:t>
            </w:r>
          </w:p>
        </w:tc>
      </w:tr>
      <w:tr w:rsidR="00E479B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B78A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3C6671" w:rsidRDefault="003B78A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3B78AD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8B62E4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B62E4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8B62E4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8B62E4" w:rsidRPr="00E20CFC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Исполнен, так как дефицит бюджета не превысил 10%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финансов Иркутской области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ублей,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тыс.рублей или 99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соответствии с Бюджетным кодексом РФ, Положением о бюджетном процессе в Слюдянск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ом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 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 ноября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397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313,1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ублей,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377 829,7</w:t>
            </w:r>
            <w:r w:rsidRPr="000A4EB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тыс.рублей.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Подготовлены и приняты районной Думой 6 решений Думы Слюдянского муниципального района «О внесении изменений в решение Думы Слюдянского муниципального района «О  бюджете Слюдянского муниципального района на 2021 год и на плановый период 2022 и 2023 годов»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Своевременно и в полном объеме предоставление средств фонда финансовой поддержки поселений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Дотация на выравнивание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</w:t>
            </w:r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 плане  на 9 месяцев 2021 года 72 365,1 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ублей исполнение составило 91 982,9 тыс. рублей или 127,1%. На основании обращений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сельского поселения от 02.02.2021 года №43, от 01.06.2021 года №181, Байкальского городского поселения от 03.03.2021 года №119/02, от 06.04.2021 года №326/02, от 07.06.2021 года №529/02, Утуликского сельского поселения от 04.02.2021 года №109, от 02.06.2021 года №586,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сельского поселения от 03.02.2021 года №41, от 01.06.2021 года №202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 4 квартала 2021 года в сумме 11 656,8 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ублей, также в сентябре месяце произведено опережающее финанс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рование за октябрь в сумме 7 961,0 тыс.рублей.</w:t>
            </w:r>
          </w:p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</w:t>
            </w:r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отаци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 поддержку мер по обеспечению </w:t>
            </w:r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распределена</w:t>
            </w:r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25.03.2021 года решением Думы Слюдянского муниципального района № 15-VIIрд. При плане на 9 месяцев 2021 года 15 029,3 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ублей исполнение составило 21 105,1 тыс.рублей или 140,4%. В марте месяце произведено опережающее финансирование Байкальскому городскому поселению в сумме 2 693,0 тыс.рублей. В сентябре произведено опережающее финансирование за октябрь в сумме 915,8 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ублей, кроме того на основании обращений Байкальского городского поселения от 08.09.2021 года №795,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сельского поселения от 03.08.2021года №257,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Быстринского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сельского поселения от 0508.2021 года №464, от 23.08.2021 года №501,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сельского поселения от 03.08.2021 года №180 произведено перемещение средств дотации на поддержку мер по обеспечению сбалансированности местных бюджетов с 4 квартала 2021 года в сумме 2 467,0 тыс. рублей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CA6659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="00CA665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="00CA665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Предоставление услуг зависит от волеизъявления граждан</w:t>
            </w: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Предоставление земельных участков,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5E14E0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83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4239FC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4239FC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499 197,47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15,5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A6659" w:rsidRPr="00E20CFC" w:rsidRDefault="00CA6659" w:rsidP="0036238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Согласно муниципальному заданию объем печатной площади 668304 кв.см. Фак</w:t>
            </w:r>
            <w:r w:rsidR="0036238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тическое исполнение составляет 74,7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36238F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</w:t>
            </w:r>
          </w:p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1056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88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выдача направлений была временно приостановлена.</w:t>
            </w:r>
          </w:p>
        </w:tc>
      </w:tr>
      <w:tr w:rsidR="0036238F" w:rsidRPr="00E20CFC" w:rsidTr="008B62E4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30624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0624C" w:rsidRPr="00E20CFC" w:rsidRDefault="0030624C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5E0BFB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5E0BFB" w:rsidRPr="00E20CFC" w:rsidRDefault="005E0BFB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  <w:t xml:space="preserve">Количество </w:t>
            </w:r>
            <w:proofErr w:type="gramStart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  <w:t>подготовленных</w:t>
            </w:r>
            <w:proofErr w:type="gramEnd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  <w:t xml:space="preserve"> </w:t>
            </w:r>
          </w:p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lang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lang w:eastAsia="en-US"/>
              </w:rPr>
              <w:t>457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lang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5E0BFB" w:rsidRPr="00DC7491" w:rsidRDefault="005E0BFB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135582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135582" w:rsidRPr="00E20CFC" w:rsidRDefault="00135582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334</w:t>
            </w:r>
          </w:p>
        </w:tc>
        <w:tc>
          <w:tcPr>
            <w:tcW w:w="1134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Подпрограмма 10. «Полномочия в сфере труда» на 2019-2024 годы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479BD" w:rsidRPr="003B78AD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4347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72,5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Количество человек, прошедших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обучение по охране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31,6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</w:rPr>
              <w:t>» на 2019-2024 годы</w:t>
            </w:r>
          </w:p>
        </w:tc>
      </w:tr>
      <w:tr w:rsidR="00CA6659" w:rsidRPr="00E20CFC" w:rsidTr="008B62E4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</w:t>
      </w:r>
      <w:r w:rsidR="00187F08">
        <w:rPr>
          <w:rFonts w:ascii="Times New Roman" w:hAnsi="Times New Roman" w:cs="Times New Roman"/>
          <w:lang w:eastAsia="en-US"/>
        </w:rPr>
        <w:t>уководител</w:t>
      </w:r>
      <w:r>
        <w:rPr>
          <w:rFonts w:ascii="Times New Roman" w:hAnsi="Times New Roman" w:cs="Times New Roman"/>
          <w:lang w:eastAsia="en-US"/>
        </w:rPr>
        <w:t>ь</w:t>
      </w:r>
      <w:r w:rsidR="00187F08">
        <w:rPr>
          <w:rFonts w:ascii="Times New Roman" w:hAnsi="Times New Roman" w:cs="Times New Roman"/>
          <w:lang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eastAsia="en-US"/>
        </w:rPr>
        <w:t xml:space="preserve"> район</w:t>
      </w:r>
      <w:r>
        <w:rPr>
          <w:rFonts w:ascii="Times New Roman" w:hAnsi="Times New Roman" w:cs="Times New Roman"/>
          <w:lang w:eastAsia="en-US"/>
        </w:rPr>
        <w:t>а</w:t>
      </w:r>
      <w:r w:rsidR="000A1407" w:rsidRPr="000A1407">
        <w:rPr>
          <w:rFonts w:ascii="Times New Roman" w:hAnsi="Times New Roman" w:cs="Times New Roman"/>
          <w:lang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eastAsia="en-US"/>
        </w:rPr>
        <w:t xml:space="preserve">               </w:t>
      </w:r>
      <w:r w:rsidR="000406A9">
        <w:rPr>
          <w:rFonts w:ascii="Times New Roman" w:hAnsi="Times New Roman" w:cs="Times New Roman"/>
          <w:lang w:eastAsia="en-US"/>
        </w:rPr>
        <w:t xml:space="preserve">                  </w:t>
      </w:r>
      <w:r>
        <w:rPr>
          <w:rFonts w:ascii="Times New Roman" w:hAnsi="Times New Roman" w:cs="Times New Roman"/>
          <w:lang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403E"/>
    <w:rsid w:val="000D583F"/>
    <w:rsid w:val="000E07BD"/>
    <w:rsid w:val="000E27A2"/>
    <w:rsid w:val="000E3716"/>
    <w:rsid w:val="000E39E6"/>
    <w:rsid w:val="00105EA7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B78AD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39FC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B62E4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364C"/>
    <w:rsid w:val="00EE446C"/>
    <w:rsid w:val="00EE53E3"/>
    <w:rsid w:val="00EE5F18"/>
    <w:rsid w:val="00EF785A"/>
    <w:rsid w:val="00F06FFD"/>
    <w:rsid w:val="00F11D79"/>
    <w:rsid w:val="00F17C62"/>
    <w:rsid w:val="00F27F14"/>
    <w:rsid w:val="00F4606D"/>
    <w:rsid w:val="00F63003"/>
    <w:rsid w:val="00F658FB"/>
    <w:rsid w:val="00F67361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814D-E8B6-4055-9599-1BDCFF25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Салдушева Анастасия Валерьевна</cp:lastModifiedBy>
  <cp:revision>3</cp:revision>
  <cp:lastPrinted>2020-10-19T07:07:00Z</cp:lastPrinted>
  <dcterms:created xsi:type="dcterms:W3CDTF">2022-02-11T05:03:00Z</dcterms:created>
  <dcterms:modified xsi:type="dcterms:W3CDTF">2022-02-11T08:43:00Z</dcterms:modified>
</cp:coreProperties>
</file>