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CC" w:rsidRPr="00AA2D4D" w:rsidRDefault="003E0C1C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>Приложение</w:t>
      </w:r>
      <w:r w:rsidR="00F76259" w:rsidRPr="00AA2D4D">
        <w:rPr>
          <w:rFonts w:ascii="Times New Roman" w:hAnsi="Times New Roman" w:cs="Times New Roman"/>
          <w:sz w:val="24"/>
          <w:szCs w:val="24"/>
        </w:rPr>
        <w:t xml:space="preserve"> </w:t>
      </w:r>
      <w:r w:rsidR="00AA2D4D" w:rsidRPr="00AA2D4D">
        <w:rPr>
          <w:rFonts w:ascii="Times New Roman" w:hAnsi="Times New Roman" w:cs="Times New Roman"/>
          <w:sz w:val="24"/>
          <w:szCs w:val="24"/>
        </w:rPr>
        <w:t>6</w:t>
      </w:r>
    </w:p>
    <w:p w:rsidR="006D56CC" w:rsidRPr="00AA2D4D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</w:t>
      </w:r>
      <w:r w:rsidR="00772B1D" w:rsidRPr="00AA2D4D">
        <w:rPr>
          <w:rFonts w:ascii="Times New Roman" w:hAnsi="Times New Roman" w:cs="Times New Roman"/>
          <w:sz w:val="24"/>
          <w:szCs w:val="24"/>
        </w:rPr>
        <w:t xml:space="preserve">к </w:t>
      </w:r>
      <w:r w:rsidRPr="00AA2D4D">
        <w:rPr>
          <w:rFonts w:ascii="Times New Roman" w:hAnsi="Times New Roman" w:cs="Times New Roman"/>
          <w:sz w:val="24"/>
          <w:szCs w:val="24"/>
        </w:rPr>
        <w:t>решению  Думы Слюдянского муниципального района "О бюджете Слюдянского муниципального района на 202</w:t>
      </w:r>
      <w:r w:rsidR="00DD3C73" w:rsidRPr="00AA2D4D">
        <w:rPr>
          <w:rFonts w:ascii="Times New Roman" w:hAnsi="Times New Roman" w:cs="Times New Roman"/>
          <w:sz w:val="24"/>
          <w:szCs w:val="24"/>
        </w:rPr>
        <w:t>3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D3C73" w:rsidRPr="00AA2D4D">
        <w:rPr>
          <w:rFonts w:ascii="Times New Roman" w:hAnsi="Times New Roman" w:cs="Times New Roman"/>
          <w:sz w:val="24"/>
          <w:szCs w:val="24"/>
        </w:rPr>
        <w:t>4</w:t>
      </w:r>
      <w:r w:rsidRPr="00AA2D4D">
        <w:rPr>
          <w:rFonts w:ascii="Times New Roman" w:hAnsi="Times New Roman" w:cs="Times New Roman"/>
          <w:sz w:val="24"/>
          <w:szCs w:val="24"/>
        </w:rPr>
        <w:t xml:space="preserve"> и 202</w:t>
      </w:r>
      <w:r w:rsidR="00DD3C73" w:rsidRPr="00AA2D4D">
        <w:rPr>
          <w:rFonts w:ascii="Times New Roman" w:hAnsi="Times New Roman" w:cs="Times New Roman"/>
          <w:sz w:val="24"/>
          <w:szCs w:val="24"/>
        </w:rPr>
        <w:t>5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3E0C1C" w:rsidRPr="00AA2D4D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от</w:t>
      </w:r>
      <w:r w:rsidR="008D235A" w:rsidRPr="00AA2D4D">
        <w:rPr>
          <w:rFonts w:ascii="Times New Roman" w:hAnsi="Times New Roman" w:cs="Times New Roman"/>
          <w:sz w:val="24"/>
          <w:szCs w:val="24"/>
        </w:rPr>
        <w:t xml:space="preserve"> </w:t>
      </w:r>
      <w:r w:rsidR="00DD3C73" w:rsidRPr="00AA2D4D">
        <w:rPr>
          <w:rFonts w:ascii="Times New Roman" w:hAnsi="Times New Roman" w:cs="Times New Roman"/>
          <w:sz w:val="24"/>
          <w:szCs w:val="24"/>
        </w:rPr>
        <w:t>__</w:t>
      </w:r>
      <w:r w:rsidRPr="00AA2D4D">
        <w:rPr>
          <w:rFonts w:ascii="Times New Roman" w:hAnsi="Times New Roman" w:cs="Times New Roman"/>
          <w:sz w:val="24"/>
          <w:szCs w:val="24"/>
        </w:rPr>
        <w:t>.</w:t>
      </w:r>
      <w:r w:rsidR="00DD3C73" w:rsidRPr="00AA2D4D">
        <w:rPr>
          <w:rFonts w:ascii="Times New Roman" w:hAnsi="Times New Roman" w:cs="Times New Roman"/>
          <w:sz w:val="24"/>
          <w:szCs w:val="24"/>
        </w:rPr>
        <w:t>___</w:t>
      </w:r>
      <w:r w:rsidRPr="00AA2D4D">
        <w:rPr>
          <w:rFonts w:ascii="Times New Roman" w:hAnsi="Times New Roman" w:cs="Times New Roman"/>
          <w:sz w:val="24"/>
          <w:szCs w:val="24"/>
        </w:rPr>
        <w:t>.202</w:t>
      </w:r>
      <w:r w:rsidR="00DD3C73" w:rsidRPr="00AA2D4D">
        <w:rPr>
          <w:rFonts w:ascii="Times New Roman" w:hAnsi="Times New Roman" w:cs="Times New Roman"/>
          <w:sz w:val="24"/>
          <w:szCs w:val="24"/>
        </w:rPr>
        <w:t>2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г. №</w:t>
      </w:r>
      <w:r w:rsidR="008D235A" w:rsidRPr="00AA2D4D">
        <w:rPr>
          <w:rFonts w:ascii="Times New Roman" w:hAnsi="Times New Roman" w:cs="Times New Roman"/>
          <w:sz w:val="24"/>
          <w:szCs w:val="24"/>
        </w:rPr>
        <w:t xml:space="preserve"> </w:t>
      </w:r>
      <w:r w:rsidR="00DD3C73" w:rsidRPr="00AA2D4D">
        <w:rPr>
          <w:rFonts w:ascii="Times New Roman" w:hAnsi="Times New Roman" w:cs="Times New Roman"/>
          <w:sz w:val="24"/>
          <w:szCs w:val="24"/>
        </w:rPr>
        <w:t>___</w:t>
      </w:r>
      <w:r w:rsidRPr="00AA2D4D">
        <w:rPr>
          <w:rFonts w:ascii="Times New Roman" w:hAnsi="Times New Roman" w:cs="Times New Roman"/>
          <w:sz w:val="24"/>
          <w:szCs w:val="24"/>
        </w:rPr>
        <w:t xml:space="preserve"> - VII рд</w:t>
      </w:r>
    </w:p>
    <w:p w:rsidR="009A3C31" w:rsidRPr="00AA2D4D" w:rsidRDefault="009A3C31" w:rsidP="00312E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3C31" w:rsidRPr="00AA2D4D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ПОРЯДОК ОПРЕДЕЛЕНИЯ РАСЧЕТНОГО ОБЪЕМА ДОХОДНЫХ ИСТОЧНИКОВ И РАСЧЕТНОГО ОБЪЕМА РАСХОДНЫХ ОБЯЗАТЕЛЬСТВ ПОСЕЛЕНИЙ </w:t>
      </w:r>
      <w:r w:rsidR="00FE302E" w:rsidRPr="00AA2D4D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</w:p>
    <w:p w:rsidR="009A3C31" w:rsidRPr="00AA2D4D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3C31" w:rsidRPr="00AA2D4D" w:rsidRDefault="009A3C31" w:rsidP="006B78C3">
      <w:pPr>
        <w:shd w:val="clear" w:color="auto" w:fill="FFFFFF"/>
        <w:spacing w:after="0" w:line="322" w:lineRule="exact"/>
        <w:ind w:right="62" w:firstLine="85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Определение показателей для расчета  дотации на выравнивание бюджетной обеспеченности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поселений, предоставляемой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из бюджета Слюдянского муниципального района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поселениям Слюдянского муниципального района</w:t>
      </w:r>
      <w:r w:rsidR="004817BF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(далее – дотация)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 за счет средств субвенции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бюджетов поселений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осуществляется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в соответствии с Законом Иркутской области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от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30 ноября 2021</w:t>
      </w:r>
      <w:r w:rsidR="00E508CC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года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№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121-оз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наделении органов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   муниципальных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районов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полномочиями по расчету и предоставлению</w:t>
      </w:r>
      <w:r w:rsidR="0087149B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дотаций    на    выравнивание     бюджетной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поселений, входящих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муниципального района Иркутской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 бюджетам поселений»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на основании данных, предст</w:t>
      </w:r>
      <w:r w:rsidR="001A5DEB" w:rsidRPr="00AA2D4D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вленных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Слюдянского муниципального района</w:t>
      </w:r>
      <w:r w:rsidR="006B78C3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</w:t>
      </w:r>
      <w:r w:rsidR="001C5248" w:rsidRPr="00AA2D4D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1 октября 202</w:t>
      </w:r>
      <w:r w:rsidR="00CB1815" w:rsidRPr="00AA2D4D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года</w:t>
      </w:r>
      <w:r w:rsidR="00EA4B77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по форме, утвержденной приказом министерства финансов Иркутской области от 25 сентября 2019 года № 53н-мпр</w:t>
      </w:r>
      <w:r w:rsidR="00F11596" w:rsidRPr="00AA2D4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9A3C31" w:rsidRPr="00AA2D4D" w:rsidRDefault="009A3C31" w:rsidP="001A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Расчетный объем доходных источников, которые могут быть направлены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-ым поселением, входящим в состав 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>Слюдянского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муниципального района, на исполнение расходных обязательств на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3</w:t>
      </w:r>
      <w:r w:rsidR="004817BF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(П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pacing w:val="-6"/>
            <w:sz w:val="24"/>
            <w:szCs w:val="24"/>
          </w:rPr>
          <m:t>)</m:t>
        </m:r>
      </m:oMath>
      <w:r w:rsidRPr="00AA2D4D">
        <w:rPr>
          <w:rFonts w:ascii="Times New Roman" w:hAnsi="Times New Roman" w:cs="Times New Roman"/>
          <w:spacing w:val="-6"/>
          <w:sz w:val="24"/>
          <w:szCs w:val="24"/>
        </w:rPr>
        <w:t>, определяется по формуле:</w:t>
      </w: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, где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 xml:space="preserve">                       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>(1)</w:t>
      </w: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:rsidR="009A3C31" w:rsidRPr="00AA2D4D" w:rsidRDefault="00FC2917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– прогноз налоговых, неналоговых доходов (без учета акцизов по подакцизным товарам (продукции, производимым на территории Российской Федерации), определяемый на уровне оценки доходов на очередной финансовый год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поселения, за исключением налога на доходы физических лиц (далее – НДФЛ). Для поселений, не имеющих рост</w:t>
      </w:r>
      <w:r w:rsidR="008E2E63" w:rsidRPr="00AA2D4D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поступлений по кассовому исполнению по состоянию на отчетную дату текущего года к аналогичному периоду прошлого года, НДФЛ принимается на уровне фактического исполнения за отчетный год с учетом темпа роста от кассового исполнения по состоянию на отчетную дату текущего года к аналогичному периоду прошлого года не менее оценки доходов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 на очередной финансовый год. В иных случаях НДФЛ принимается на уровне кассового исполнения на отчетную дату текущего года и фактического поступления за 4 квартал отчетного года не менее оценки доходов на очередной финансовый год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поселения.</w:t>
      </w: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Расчетный объем расходных обязательств </w:t>
      </w:r>
      <w:r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447DB5" w:rsidRPr="00AA2D4D">
        <w:rPr>
          <w:rFonts w:ascii="Times New Roman" w:hAnsi="Times New Roman" w:cs="Times New Roman"/>
          <w:spacing w:val="-6"/>
          <w:sz w:val="24"/>
          <w:szCs w:val="24"/>
        </w:rPr>
        <w:t>-го поселения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на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817BF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год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и 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 (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AA2D4D">
        <w:rPr>
          <w:rFonts w:ascii="Times New Roman" w:hAnsi="Times New Roman" w:cs="Times New Roman"/>
          <w:spacing w:val="-6"/>
          <w:sz w:val="24"/>
          <w:szCs w:val="24"/>
        </w:rPr>
        <w:t>) определяется по формуле:</w:t>
      </w: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lastRenderedPageBreak/>
        <w:t xml:space="preserve">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, где                               </w:t>
      </w:r>
      <w:r w:rsidR="00312EF0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(2)</w:t>
      </w:r>
    </w:p>
    <w:p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E17A94" w:rsidRPr="00AA2D4D" w:rsidRDefault="00FC2917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- прогноз объема расходов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 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>на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3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 и 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 </w:t>
      </w:r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без целевых средств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определяемый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на основании данных оценки исполнения бюджета 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  <w:lang w:val="en-US"/>
        </w:rPr>
        <w:t>j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-го поселения</w:t>
      </w:r>
      <w:r w:rsidR="00EA4B77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, 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>согласно приложению к настоящему Порядку.</w:t>
      </w:r>
    </w:p>
    <w:p w:rsidR="00A51334" w:rsidRPr="00AA2D4D" w:rsidRDefault="009A3C31" w:rsidP="00FA5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A2D4D" w:rsidRP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tbl>
      <w:tblPr>
        <w:tblStyle w:val="a8"/>
        <w:tblpPr w:leftFromText="180" w:rightFromText="180" w:vertAnchor="page" w:horzAnchor="page" w:tblpX="6358" w:tblpY="676"/>
        <w:tblW w:w="5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4"/>
      </w:tblGrid>
      <w:tr w:rsidR="000821D3" w:rsidRPr="00AA2D4D" w:rsidTr="00310EF1">
        <w:trPr>
          <w:trHeight w:val="1479"/>
        </w:trPr>
        <w:tc>
          <w:tcPr>
            <w:tcW w:w="5054" w:type="dxa"/>
          </w:tcPr>
          <w:p w:rsidR="000821D3" w:rsidRPr="00AA2D4D" w:rsidRDefault="000821D3" w:rsidP="00310E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Приложение </w:t>
            </w:r>
            <w:r w:rsidRPr="00AA2D4D">
              <w:rPr>
                <w:sz w:val="24"/>
                <w:szCs w:val="24"/>
              </w:rPr>
              <w:t xml:space="preserve"> </w:t>
            </w: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Порядку определения расчетного объема доходных источников и расчетного объема расходных обязательств поселений Слюдянского  муниципального района</w:t>
            </w:r>
          </w:p>
        </w:tc>
      </w:tr>
    </w:tbl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51334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b/>
          <w:spacing w:val="-6"/>
          <w:sz w:val="24"/>
          <w:szCs w:val="24"/>
        </w:rPr>
        <w:t>Порядок определения расчетного объема расходных обязательств</w:t>
      </w:r>
    </w:p>
    <w:p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tbl>
      <w:tblPr>
        <w:tblW w:w="1091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92"/>
        <w:gridCol w:w="1277"/>
        <w:gridCol w:w="5250"/>
        <w:gridCol w:w="914"/>
        <w:gridCol w:w="2483"/>
      </w:tblGrid>
      <w:tr w:rsidR="00FB4E98" w:rsidRPr="00AA2D4D" w:rsidTr="00FC2917">
        <w:trPr>
          <w:gridAfter w:val="1"/>
          <w:wAfter w:w="2483" w:type="dxa"/>
          <w:trHeight w:val="315"/>
        </w:trPr>
        <w:tc>
          <w:tcPr>
            <w:tcW w:w="7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E98" w:rsidRPr="00AA2D4D" w:rsidRDefault="00FB4E98" w:rsidP="00DC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E98" w:rsidRPr="00AA2D4D" w:rsidRDefault="00FB4E98" w:rsidP="003E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5D0" w:rsidRPr="00AA2D4D" w:rsidTr="00FC2917">
        <w:trPr>
          <w:gridBefore w:val="1"/>
          <w:wBefore w:w="992" w:type="dxa"/>
          <w:trHeight w:val="138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строки в отчете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группы полномочий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 приведения</w:t>
            </w:r>
          </w:p>
        </w:tc>
      </w:tr>
      <w:tr w:rsidR="006E2000" w:rsidRPr="00AA2D4D" w:rsidTr="00FC2917">
        <w:trPr>
          <w:gridBefore w:val="1"/>
          <w:wBefore w:w="992" w:type="dxa"/>
          <w:trHeight w:val="9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2201.2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ЭЛЕКТРО-, ТЕПЛО-, ГАЗО- И ВОДОСНАБЖЕНИЕ НАСЕЛЕНИЯ, ВОДООТВЕДЕНИЕ, СНАБЖЕНИЕ НАСЕЛЕНИЯ ТОПЛИВОМ</w:t>
            </w:r>
          </w:p>
        </w:tc>
        <w:tc>
          <w:tcPr>
            <w:tcW w:w="339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принимается в объеме средств в пределах ожидаемой оценки поселений на очередной финансовый год, не менее уровня фактических расходов за отчетный год </w:t>
            </w:r>
          </w:p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2000" w:rsidRPr="00AA2D4D" w:rsidTr="00FC2917">
        <w:trPr>
          <w:gridBefore w:val="1"/>
          <w:wBefore w:w="992" w:type="dxa"/>
          <w:trHeight w:val="44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108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МАЛОИМУЩИХ ГРАЖДАН ЖИЛЫМИ ПОМЕ</w:t>
            </w:r>
            <w:bookmarkStart w:id="0" w:name="_GoBack"/>
            <w:bookmarkEnd w:id="0"/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ЩЕНИЯМИ, ПЕРЕСЕЛЕНИЕ ГРАЖДАН, ОРГАНИЗАЦИЯ СТРОИТЕЛЬСТВА И СОДЕРЖАНИЕ ЖИЛИЩНОГО ФОНДА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813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МО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47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2207.2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ЖИТЕЛЕЙ УСЛУГАМИ ОРГАНИЗАЦИЙ КУЛЬТУРЫ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31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2217.2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120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ТЕРРИТОРИИ, В Т.Ч. В ЧАСТИ РАСХОДОВ НА ОСУЩЕСТВЛЕНИЕ ДОРОЖНОЙ ДЕЯТЕЛЬНОСТИ (РЕМОНТ ДВОРОВЫХ ТЕРРИТОРИЙ МНОГОКВАРТИРНЫХ ДОМОВ)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95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2221.2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ГЕНЕРАЛЬНЫХ ПЛАНОВ, ПРАВИЛ ЗЕМЛЕПОЛЬЗОВАНИЯ И ЗАСТРОЙКИ, ПОСТАНОВКА НА КАДАСТРОВЫЙ УЧЕТ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50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ОМСУ,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42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полномочия ОМСУ,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:rsidTr="00FC2917">
        <w:trPr>
          <w:gridBefore w:val="1"/>
          <w:wBefore w:w="992" w:type="dxa"/>
          <w:trHeight w:val="4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ЧАСТИ ПОЛНОМОЧИЙ БЮДЖЕТУ ДРУГОГО УРОВНЯ ПО СОГЛАШЕНИЯМ,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4721" w:rsidRPr="00AA2D4D" w:rsidRDefault="009A3C31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CB1815" w:rsidRPr="00AA2D4D" w:rsidRDefault="00CB1815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Мэр Слюдянского   муниципального района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А.Г.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Шульц          </w:t>
      </w:r>
    </w:p>
    <w:p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Председатель Думы </w:t>
      </w:r>
    </w:p>
    <w:p w:rsidR="00CB1815" w:rsidRPr="00F11596" w:rsidRDefault="00CB1815" w:rsidP="009165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Слюдянского муниципального района                                                        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А.В. Николаев</w:t>
      </w:r>
    </w:p>
    <w:sectPr w:rsidR="00CB1815" w:rsidRPr="00F11596" w:rsidSect="00FE302E">
      <w:headerReference w:type="default" r:id="rId8"/>
      <w:pgSz w:w="11905" w:h="16838"/>
      <w:pgMar w:top="1134" w:right="850" w:bottom="709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C3" w:rsidRDefault="006B78C3">
      <w:pPr>
        <w:spacing w:after="0" w:line="240" w:lineRule="auto"/>
      </w:pPr>
      <w:r>
        <w:separator/>
      </w:r>
    </w:p>
  </w:endnote>
  <w:endnote w:type="continuationSeparator" w:id="0">
    <w:p w:rsidR="006B78C3" w:rsidRDefault="006B7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C3" w:rsidRDefault="006B78C3">
      <w:pPr>
        <w:spacing w:after="0" w:line="240" w:lineRule="auto"/>
      </w:pPr>
      <w:r>
        <w:separator/>
      </w:r>
    </w:p>
  </w:footnote>
  <w:footnote w:type="continuationSeparator" w:id="0">
    <w:p w:rsidR="006B78C3" w:rsidRDefault="006B7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882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B78C3" w:rsidRDefault="006B78C3">
        <w:pPr>
          <w:pStyle w:val="a4"/>
          <w:jc w:val="center"/>
        </w:pPr>
      </w:p>
      <w:p w:rsidR="006B78C3" w:rsidRDefault="006B78C3">
        <w:pPr>
          <w:pStyle w:val="a4"/>
          <w:jc w:val="center"/>
        </w:pPr>
      </w:p>
      <w:p w:rsidR="006B78C3" w:rsidRPr="00077F56" w:rsidRDefault="00FC2917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6B78C3" w:rsidRDefault="006B78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31"/>
    <w:rsid w:val="0002542C"/>
    <w:rsid w:val="0006493E"/>
    <w:rsid w:val="000821D3"/>
    <w:rsid w:val="000A4987"/>
    <w:rsid w:val="001A5DEB"/>
    <w:rsid w:val="001C5248"/>
    <w:rsid w:val="00250878"/>
    <w:rsid w:val="00312EF0"/>
    <w:rsid w:val="00353A20"/>
    <w:rsid w:val="003577A2"/>
    <w:rsid w:val="00361D07"/>
    <w:rsid w:val="003E0C1C"/>
    <w:rsid w:val="00447DB5"/>
    <w:rsid w:val="004817BF"/>
    <w:rsid w:val="00597F7C"/>
    <w:rsid w:val="006B78C3"/>
    <w:rsid w:val="006C560B"/>
    <w:rsid w:val="006D56CC"/>
    <w:rsid w:val="006E2000"/>
    <w:rsid w:val="00772B1D"/>
    <w:rsid w:val="00774721"/>
    <w:rsid w:val="00821E0B"/>
    <w:rsid w:val="0087149B"/>
    <w:rsid w:val="008B6C7A"/>
    <w:rsid w:val="008D235A"/>
    <w:rsid w:val="008E2E63"/>
    <w:rsid w:val="009165D0"/>
    <w:rsid w:val="009A3C31"/>
    <w:rsid w:val="009A5CE2"/>
    <w:rsid w:val="00A51334"/>
    <w:rsid w:val="00AA2D4D"/>
    <w:rsid w:val="00C20778"/>
    <w:rsid w:val="00CB1815"/>
    <w:rsid w:val="00CE158F"/>
    <w:rsid w:val="00DC1738"/>
    <w:rsid w:val="00DD3C73"/>
    <w:rsid w:val="00E1440F"/>
    <w:rsid w:val="00E17A94"/>
    <w:rsid w:val="00E508CC"/>
    <w:rsid w:val="00EA4B77"/>
    <w:rsid w:val="00EC7695"/>
    <w:rsid w:val="00F11596"/>
    <w:rsid w:val="00F76259"/>
    <w:rsid w:val="00FA5B3F"/>
    <w:rsid w:val="00FB4E98"/>
    <w:rsid w:val="00FC2917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241D-8F6D-43C5-94BB-84A8E579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econ11</dc:creator>
  <cp:keywords/>
  <dc:description/>
  <cp:lastModifiedBy>finotd12</cp:lastModifiedBy>
  <cp:revision>32</cp:revision>
  <cp:lastPrinted>2021-12-02T08:53:00Z</cp:lastPrinted>
  <dcterms:created xsi:type="dcterms:W3CDTF">2021-11-08T00:56:00Z</dcterms:created>
  <dcterms:modified xsi:type="dcterms:W3CDTF">2022-11-10T00:31:00Z</dcterms:modified>
</cp:coreProperties>
</file>