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styles.xml" ContentType="application/vnd.openxmlformats-officedocument.wordprocessingml.style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body>
    <w:p w14:paraId="00000001">
      <w:pPr>
        <w:spacing w:after="0" w:line="240" w:lineRule="auto"/>
        <w:jc w:val="center"/>
        <w:rPr>
          <w:rFonts w:ascii="Arial" w:cs="Arial" w:eastAsia="Times New Roman" w:hAnsi="Arial"/>
          <w:b/>
          <w:bCs/>
          <w:color w:val="000000"/>
          <w:sz w:val="32"/>
          <w:szCs w:val="32"/>
          <w:lang w:eastAsia="ru-RU"/>
        </w:rPr>
      </w:pPr>
    </w:p>
    <w:p w14:paraId="00000002">
      <w:pPr>
        <w:spacing w:after="0" w:line="240" w:lineRule="auto"/>
        <w:jc w:val="center"/>
        <w:rPr>
          <w:rFonts w:ascii="Arial" w:cs="Arial" w:eastAsia="Times New Roman" w:hAnsi="Arial"/>
          <w:b/>
          <w:bCs/>
          <w:color w:val="000000"/>
          <w:sz w:val="32"/>
          <w:szCs w:val="32"/>
          <w:lang w:eastAsia="ru-RU"/>
        </w:rPr>
      </w:pPr>
      <w:r>
        <w:rPr>
          <w:rFonts w:ascii="Arial" w:cs="Arial" w:eastAsia="Times New Roman" w:hAnsi="Arial"/>
          <w:b/>
          <w:bCs/>
          <w:color w:val="000000"/>
          <w:sz w:val="32"/>
          <w:szCs w:val="32"/>
          <w:lang w:eastAsia="ru-RU"/>
        </w:rPr>
        <w:t xml:space="preserve">От 26.08.2024г  № 33   </w:t>
      </w:r>
    </w:p>
    <w:p w14:paraId="00000003">
      <w:pPr>
        <w:spacing w:after="0" w:line="240" w:lineRule="auto"/>
        <w:jc w:val="center"/>
        <w:rPr>
          <w:rFonts w:ascii="Arial" w:cs="Arial" w:eastAsia="Times New Roman" w:hAnsi="Arial"/>
          <w:b/>
          <w:bCs/>
          <w:color w:val="000000"/>
          <w:sz w:val="32"/>
          <w:szCs w:val="32"/>
          <w:lang w:eastAsia="ru-RU"/>
        </w:rPr>
      </w:pPr>
      <w:r>
        <w:rPr>
          <w:rFonts w:ascii="Arial" w:cs="Arial" w:eastAsia="Times New Roman" w:hAnsi="Arial"/>
          <w:b/>
          <w:bCs/>
          <w:color w:val="000000"/>
          <w:sz w:val="32"/>
          <w:szCs w:val="32"/>
          <w:lang w:eastAsia="ru-RU"/>
        </w:rPr>
        <w:t>РОССИЙСКАЯ ФЕДЕРАЦИЯ</w:t>
      </w:r>
    </w:p>
    <w:p w14:paraId="00000004">
      <w:pPr>
        <w:spacing w:after="0" w:line="240" w:lineRule="auto"/>
        <w:jc w:val="center"/>
        <w:rPr>
          <w:rFonts w:ascii="Arial" w:cs="Arial" w:eastAsia="Times New Roman" w:hAnsi="Arial"/>
          <w:b/>
          <w:bCs/>
          <w:color w:val="000000"/>
          <w:sz w:val="32"/>
          <w:szCs w:val="32"/>
          <w:lang w:eastAsia="ru-RU"/>
        </w:rPr>
      </w:pPr>
      <w:r>
        <w:rPr>
          <w:rFonts w:ascii="Arial" w:cs="Arial" w:eastAsia="Times New Roman" w:hAnsi="Arial"/>
          <w:b/>
          <w:bCs/>
          <w:color w:val="000000"/>
          <w:sz w:val="32"/>
          <w:szCs w:val="32"/>
          <w:lang w:eastAsia="ru-RU"/>
        </w:rPr>
        <w:t>ИРКУТСКАЯ ОБЛАСТЬ</w:t>
      </w:r>
    </w:p>
    <w:p w14:paraId="00000005">
      <w:pPr>
        <w:spacing w:after="0" w:line="240" w:lineRule="auto"/>
        <w:jc w:val="center"/>
        <w:rPr>
          <w:rFonts w:ascii="Arial" w:cs="Arial" w:eastAsia="Times New Roman" w:hAnsi="Arial"/>
          <w:color w:val="000000"/>
          <w:sz w:val="24"/>
          <w:szCs w:val="24"/>
          <w:lang w:eastAsia="ru-RU"/>
        </w:rPr>
      </w:pPr>
      <w:r>
        <w:rPr>
          <w:rFonts w:ascii="Arial" w:cs="Arial" w:eastAsia="Times New Roman" w:hAnsi="Arial"/>
          <w:b/>
          <w:bCs/>
          <w:color w:val="000000"/>
          <w:sz w:val="32"/>
          <w:szCs w:val="32"/>
          <w:lang w:eastAsia="ru-RU"/>
        </w:rPr>
        <w:t>СЛЮДЯНСКИЙ МНИЦИПАЛЬНЫЙ РАЙОН</w:t>
      </w:r>
      <w:r>
        <w:rPr>
          <w:rFonts w:ascii="Arial" w:cs="Arial" w:eastAsia="Times New Roman" w:hAnsi="Arial"/>
          <w:b/>
          <w:bCs/>
          <w:color w:val="000000"/>
          <w:sz w:val="32"/>
          <w:szCs w:val="32"/>
          <w:lang w:eastAsia="ru-RU"/>
        </w:rPr>
        <w:br w:type="textWrapping"/>
      </w:r>
      <w:r>
        <w:rPr>
          <w:rFonts w:ascii="Arial" w:cs="Arial" w:eastAsia="Times New Roman" w:hAnsi="Arial"/>
          <w:b/>
          <w:bCs/>
          <w:color w:val="000000"/>
          <w:sz w:val="32"/>
          <w:szCs w:val="32"/>
          <w:lang w:eastAsia="ru-RU"/>
        </w:rPr>
        <w:t>АДМИНИСТРАЦИЯ</w:t>
      </w:r>
    </w:p>
    <w:p w14:paraId="00000006">
      <w:pPr>
        <w:spacing w:after="0" w:line="240" w:lineRule="auto"/>
        <w:jc w:val="center"/>
        <w:rPr>
          <w:rFonts w:ascii="Arial" w:cs="Arial" w:eastAsia="Times New Roman" w:hAnsi="Arial"/>
          <w:color w:val="000000"/>
          <w:sz w:val="24"/>
          <w:szCs w:val="24"/>
          <w:lang w:eastAsia="ru-RU"/>
        </w:rPr>
      </w:pPr>
      <w:r>
        <w:rPr>
          <w:rFonts w:ascii="Arial" w:cs="Arial" w:eastAsia="Times New Roman" w:hAnsi="Arial"/>
          <w:b/>
          <w:bCs/>
          <w:color w:val="000000"/>
          <w:sz w:val="32"/>
          <w:szCs w:val="32"/>
          <w:lang w:eastAsia="ru-RU"/>
        </w:rPr>
        <w:t>ПОРТБАЙКАЛЬСКОГО МУНЦИПАЛЬНОГО ОБРАЗОВАНИЯ</w:t>
      </w:r>
    </w:p>
    <w:p w14:paraId="00000007">
      <w:pPr>
        <w:spacing w:after="0" w:line="240" w:lineRule="auto"/>
        <w:jc w:val="center"/>
        <w:rPr>
          <w:rFonts w:ascii="Arial" w:cs="Arial" w:eastAsia="Times New Roman" w:hAnsi="Arial"/>
          <w:color w:val="000000"/>
          <w:sz w:val="24"/>
          <w:szCs w:val="24"/>
          <w:lang w:eastAsia="ru-RU"/>
        </w:rPr>
      </w:pPr>
      <w:r>
        <w:rPr>
          <w:rFonts w:ascii="Arial" w:cs="Arial" w:eastAsia="Times New Roman" w:hAnsi="Arial"/>
          <w:b/>
          <w:bCs/>
          <w:color w:val="000000"/>
          <w:sz w:val="32"/>
          <w:szCs w:val="32"/>
          <w:lang w:eastAsia="ru-RU"/>
        </w:rPr>
        <w:t> </w:t>
      </w:r>
    </w:p>
    <w:p w14:paraId="00000008">
      <w:pPr>
        <w:spacing w:after="0" w:line="240" w:lineRule="auto"/>
        <w:jc w:val="center"/>
        <w:rPr>
          <w:rFonts w:ascii="Arial" w:cs="Arial" w:eastAsia="Times New Roman" w:hAnsi="Arial"/>
          <w:color w:val="000000"/>
          <w:sz w:val="24"/>
          <w:szCs w:val="24"/>
          <w:lang w:eastAsia="ru-RU"/>
        </w:rPr>
      </w:pPr>
      <w:r>
        <w:rPr>
          <w:rFonts w:ascii="Arial" w:cs="Arial" w:eastAsia="Times New Roman" w:hAnsi="Arial"/>
          <w:b/>
          <w:bCs/>
          <w:color w:val="000000"/>
          <w:sz w:val="32"/>
          <w:szCs w:val="32"/>
          <w:lang w:eastAsia="ru-RU"/>
        </w:rPr>
        <w:t>ПОСТАНОВЛЕНИЕ</w:t>
      </w:r>
      <w:r>
        <w:rPr>
          <w:rFonts w:ascii="Arial" w:cs="Arial" w:eastAsia="Times New Roman" w:hAnsi="Arial"/>
          <w:b/>
          <w:bCs/>
          <w:color w:val="000000"/>
          <w:sz w:val="32"/>
          <w:szCs w:val="32"/>
          <w:lang w:eastAsia="ru-RU"/>
        </w:rPr>
        <w:t> </w:t>
      </w:r>
    </w:p>
    <w:p w14:paraId="00000009">
      <w:pPr>
        <w:spacing w:after="0" w:line="240" w:lineRule="auto"/>
        <w:jc w:val="center"/>
        <w:rPr>
          <w:rFonts w:ascii="Arial" w:cs="Arial" w:eastAsia="Times New Roman" w:hAnsi="Arial"/>
          <w:color w:val="000000"/>
          <w:sz w:val="24"/>
          <w:szCs w:val="24"/>
          <w:lang w:eastAsia="ru-RU"/>
        </w:rPr>
      </w:pPr>
      <w:r>
        <w:rPr>
          <w:rFonts w:ascii="Arial" w:cs="Arial" w:eastAsia="Times New Roman" w:hAnsi="Arial"/>
          <w:b/>
          <w:bCs/>
          <w:color w:val="000000"/>
          <w:sz w:val="32"/>
          <w:szCs w:val="32"/>
          <w:lang w:eastAsia="ru-RU"/>
        </w:rPr>
        <w:t>ОБ УТВЕРЖДЕНИИ ПОЛОЖЕНИЯ О ПРЕДОТВРАЩЕНИИ И УРЕГУЛИРОВАНИИ КОНФЛИКТА ИНТЕРЕСОВ ПРИ ОСУЩЕСТВЛЕНИИ ЗАКУПОК ТОВАРОВ, РАБОТ, УСЛУГ ДЛЯ ОБЕСПЕЧЕНИЯ МУНИЦИПАЛЬНЫХ НУЖД</w:t>
      </w:r>
    </w:p>
    <w:p w14:paraId="0000000A">
      <w:pPr>
        <w:spacing w:after="0" w:line="240" w:lineRule="auto"/>
        <w:jc w:val="center"/>
        <w:rPr>
          <w:rFonts w:ascii="Arial" w:cs="Arial" w:eastAsia="Times New Roman" w:hAnsi="Arial"/>
          <w:color w:val="000000"/>
          <w:sz w:val="24"/>
          <w:szCs w:val="24"/>
          <w:lang w:eastAsia="ru-RU"/>
        </w:rPr>
      </w:pPr>
      <w:r>
        <w:rPr>
          <w:rFonts w:ascii="Arial" w:cs="Arial" w:eastAsia="Times New Roman" w:hAnsi="Arial"/>
          <w:b/>
          <w:bCs/>
          <w:color w:val="000000"/>
          <w:sz w:val="32"/>
          <w:szCs w:val="32"/>
          <w:lang w:eastAsia="ru-RU"/>
        </w:rPr>
        <w:t> </w:t>
      </w:r>
    </w:p>
    <w:p w14:paraId="0000000B">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В соответствии с требованиями </w:t>
      </w:r>
      <w:r>
        <w:fldChar w:fldCharType="begin"/>
      </w:r>
      <w:r>
        <w:instrText xml:space="preserve">HYPERLINK "https://pravo-search.minjust.ru/bigs/showDocument.html?id=9AA48369-618A-4BB4-B4B8-AE15F2B7EBF6" </w:instrText>
      </w:r>
      <w:r>
        <w:fldChar w:fldCharType="separate"/>
      </w:r>
      <w:r>
        <w:rPr>
          <w:rFonts w:ascii="Arial" w:cs="Arial" w:eastAsia="Times New Roman" w:hAnsi="Arial"/>
          <w:color w:val="0000ff"/>
          <w:sz w:val="24"/>
          <w:szCs w:val="24"/>
          <w:lang w:eastAsia="ru-RU"/>
        </w:rPr>
        <w:t>Федерально</w:t>
      </w:r>
      <w:r>
        <w:rPr>
          <w:rFonts w:ascii="Arial" w:cs="Arial" w:eastAsia="Times New Roman" w:hAnsi="Arial"/>
          <w:color w:val="0000ff"/>
          <w:sz w:val="24"/>
          <w:szCs w:val="24"/>
          <w:lang w:eastAsia="ru-RU"/>
        </w:rPr>
        <w:t>го закона от 25 декабря 2008 года № 273-ФЗ «</w:t>
      </w:r>
      <w:r>
        <w:rPr>
          <w:rFonts w:ascii="Arial" w:cs="Arial" w:eastAsia="Times New Roman" w:hAnsi="Arial"/>
          <w:color w:val="0000ff"/>
          <w:sz w:val="24"/>
          <w:szCs w:val="24"/>
          <w:lang w:eastAsia="ru-RU"/>
        </w:rPr>
        <w:t>О противодействии коррупции</w:t>
      </w:r>
      <w:r>
        <w:fldChar w:fldCharType="end"/>
      </w:r>
      <w:r>
        <w:rPr>
          <w:rFonts w:ascii="Arial" w:cs="Arial" w:eastAsia="Times New Roman" w:hAnsi="Arial"/>
          <w:color w:val="0000ff"/>
          <w:sz w:val="24"/>
          <w:szCs w:val="24"/>
          <w:lang w:eastAsia="ru-RU"/>
        </w:rPr>
        <w:t>»</w:t>
      </w:r>
      <w:r>
        <w:rPr>
          <w:rFonts w:ascii="Arial" w:cs="Arial" w:eastAsia="Times New Roman" w:hAnsi="Arial"/>
          <w:color w:val="000000"/>
          <w:sz w:val="24"/>
          <w:szCs w:val="24"/>
          <w:lang w:eastAsia="ru-RU"/>
        </w:rPr>
        <w:t>, положениями Методических рекомендаций по проведению в федеральных государственных органах, органах государственной власти субъектов Российской Федерации, органах местного самоуправления, государственных внебюджетных фондах и иных организациях, осуществляющих закупки в соответствии с </w:t>
      </w:r>
      <w:r>
        <w:fldChar w:fldCharType="begin"/>
      </w:r>
      <w:r>
        <w:instrText xml:space="preserve">HYPERLINK "https://pravo-search.minjust.ru/bigs/showDocument.html?id=E3582471-B8B8-4D69-B4C4-3DF3F904EEA0" </w:instrText>
      </w:r>
      <w:r>
        <w:fldChar w:fldCharType="separate"/>
      </w:r>
      <w:r>
        <w:rPr>
          <w:rFonts w:ascii="Arial" w:cs="Arial" w:eastAsia="Times New Roman" w:hAnsi="Arial"/>
          <w:color w:val="0000ff"/>
          <w:sz w:val="24"/>
          <w:szCs w:val="24"/>
          <w:lang w:eastAsia="ru-RU"/>
        </w:rPr>
        <w:t>Федеральн</w:t>
      </w:r>
      <w:r>
        <w:rPr>
          <w:rFonts w:ascii="Arial" w:cs="Arial" w:eastAsia="Times New Roman" w:hAnsi="Arial"/>
          <w:color w:val="0000ff"/>
          <w:sz w:val="24"/>
          <w:szCs w:val="24"/>
          <w:lang w:eastAsia="ru-RU"/>
        </w:rPr>
        <w:t>ым законом от 5 апреля 2013 года № 44-ФЗ «</w:t>
      </w:r>
      <w:r>
        <w:rPr>
          <w:rFonts w:ascii="Arial" w:cs="Arial" w:eastAsia="Times New Roman" w:hAnsi="Arial"/>
          <w:color w:val="0000ff"/>
          <w:sz w:val="24"/>
          <w:szCs w:val="24"/>
          <w:lang w:eastAsia="ru-RU"/>
        </w:rPr>
        <w:t>О контрактной системе в сфере закупок товаров, работ, услуг для обеспечения государственных и муниципальных нужд</w:t>
      </w:r>
      <w:r>
        <w:fldChar w:fldCharType="end"/>
      </w:r>
      <w:r>
        <w:rPr>
          <w:rFonts w:ascii="Arial" w:cs="Arial" w:eastAsia="Times New Roman" w:hAnsi="Arial"/>
          <w:color w:val="0000ff"/>
          <w:sz w:val="24"/>
          <w:szCs w:val="24"/>
          <w:lang w:eastAsia="ru-RU"/>
        </w:rPr>
        <w:t>»</w:t>
      </w:r>
      <w:r>
        <w:rPr>
          <w:rFonts w:ascii="Arial" w:cs="Arial" w:eastAsia="Times New Roman" w:hAnsi="Arial"/>
          <w:color w:val="000000"/>
          <w:sz w:val="24"/>
          <w:szCs w:val="24"/>
          <w:lang w:eastAsia="ru-RU"/>
        </w:rPr>
        <w:t xml:space="preserve"> и </w:t>
      </w:r>
      <w:r>
        <w:fldChar w:fldCharType="begin"/>
      </w:r>
      <w:r>
        <w:instrText xml:space="preserve">HYPERLINK "https://pravo-search.minjust.ru/bigs/showDocument.html?id=ED0D4DB0-035D-4DD9-9714-6988F4CB73A4" </w:instrText>
      </w:r>
      <w:r>
        <w:fldChar w:fldCharType="separate"/>
      </w:r>
      <w:r>
        <w:rPr>
          <w:rFonts w:ascii="Arial" w:cs="Arial" w:eastAsia="Times New Roman" w:hAnsi="Arial"/>
          <w:color w:val="0000ff"/>
          <w:sz w:val="24"/>
          <w:szCs w:val="24"/>
          <w:lang w:eastAsia="ru-RU"/>
        </w:rPr>
        <w:t>Федеральным законом от 18 июля 2011 г</w:t>
      </w:r>
      <w:r>
        <w:rPr>
          <w:rFonts w:ascii="Arial" w:cs="Arial" w:eastAsia="Times New Roman" w:hAnsi="Arial"/>
          <w:color w:val="0000ff"/>
          <w:sz w:val="24"/>
          <w:szCs w:val="24"/>
          <w:lang w:eastAsia="ru-RU"/>
        </w:rPr>
        <w:t>ода № 223- ФЗ «</w:t>
      </w:r>
      <w:r>
        <w:rPr>
          <w:rFonts w:ascii="Arial" w:cs="Arial" w:eastAsia="Times New Roman" w:hAnsi="Arial"/>
          <w:color w:val="0000ff"/>
          <w:sz w:val="24"/>
          <w:szCs w:val="24"/>
          <w:lang w:eastAsia="ru-RU"/>
        </w:rPr>
        <w:t>О закупках товаров, работ, услуг отдельными видами юридических лиц</w:t>
      </w:r>
      <w:r>
        <w:fldChar w:fldCharType="end"/>
      </w:r>
      <w:r>
        <w:rPr>
          <w:rFonts w:ascii="Arial" w:cs="Arial" w:eastAsia="Times New Roman" w:hAnsi="Arial"/>
          <w:color w:val="000000"/>
          <w:sz w:val="24"/>
          <w:szCs w:val="24"/>
          <w:lang w:eastAsia="ru-RU"/>
        </w:rPr>
        <w:t>»</w:t>
      </w:r>
      <w:r>
        <w:rPr>
          <w:rFonts w:ascii="Arial" w:cs="Arial" w:eastAsia="Times New Roman" w:hAnsi="Arial"/>
          <w:color w:val="000000"/>
          <w:sz w:val="24"/>
          <w:szCs w:val="24"/>
          <w:lang w:eastAsia="ru-RU"/>
        </w:rPr>
        <w:t>, в целях совершенствования мер по противодействию возникновения личной заинтересованности должностных лиц, работников при осуществлении таких закупок, которая приводит или может привести к конфликту интересов, руководствуясь </w:t>
      </w:r>
      <w:r>
        <w:fldChar w:fldCharType="begin"/>
      </w:r>
      <w:r>
        <w:instrText xml:space="preserve">HYPERLINK "http://pravo.minjust.ru/" </w:instrText>
      </w:r>
      <w:r>
        <w:fldChar w:fldCharType="separate"/>
      </w:r>
      <w:r>
        <w:rPr>
          <w:rFonts w:ascii="Arial" w:cs="Arial" w:eastAsia="Times New Roman" w:hAnsi="Arial"/>
          <w:color w:val="0000ff"/>
          <w:sz w:val="24"/>
          <w:szCs w:val="24"/>
          <w:lang w:eastAsia="ru-RU"/>
        </w:rPr>
        <w:t>Уставом</w:t>
      </w:r>
      <w:r>
        <w:fldChar w:fldCharType="end"/>
      </w:r>
      <w:r>
        <w:rPr>
          <w:rFonts w:ascii="Arial" w:cs="Arial" w:eastAsia="Times New Roman" w:hAnsi="Arial"/>
          <w:color w:val="000000"/>
          <w:sz w:val="24"/>
          <w:szCs w:val="24"/>
          <w:lang w:eastAsia="ru-RU"/>
        </w:rPr>
        <w:t> </w:t>
      </w:r>
      <w:r>
        <w:rPr>
          <w:rFonts w:ascii="Arial" w:cs="Arial" w:eastAsia="Times New Roman" w:hAnsi="Arial"/>
          <w:color w:val="000000"/>
          <w:sz w:val="24"/>
          <w:szCs w:val="24"/>
          <w:lang w:eastAsia="ru-RU"/>
        </w:rPr>
        <w:t xml:space="preserve">Портбайкальского муниципального образования, администрация </w:t>
      </w:r>
      <w:r>
        <w:rPr>
          <w:rFonts w:ascii="Arial" w:cs="Arial" w:eastAsia="Times New Roman" w:hAnsi="Arial"/>
          <w:color w:val="000000"/>
          <w:sz w:val="24"/>
          <w:szCs w:val="24"/>
          <w:lang w:eastAsia="ru-RU"/>
        </w:rPr>
        <w:t>Портбайкальского муниципального образования</w:t>
      </w:r>
    </w:p>
    <w:p w14:paraId="0000000C">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ПОСТАНОВЛЯЕТ:</w:t>
      </w:r>
    </w:p>
    <w:p w14:paraId="0000000D">
      <w:pPr>
        <w:spacing w:after="0" w:line="240" w:lineRule="auto"/>
        <w:ind w:firstLine="709"/>
        <w:jc w:val="both"/>
        <w:rPr>
          <w:rFonts w:ascii="Arial" w:cs="Arial" w:eastAsia="Times New Roman" w:hAnsi="Arial"/>
          <w:color w:val="000000"/>
          <w:sz w:val="24"/>
          <w:szCs w:val="24"/>
          <w:lang w:eastAsia="ru-RU"/>
        </w:rPr>
      </w:pPr>
      <w:bookmarkStart w:id="0" w:name="sub_1001"/>
      <w:r>
        <w:rPr>
          <w:rFonts w:ascii="Arial" w:cs="Arial" w:eastAsia="Times New Roman" w:hAnsi="Arial"/>
          <w:color w:val="000000"/>
          <w:sz w:val="24"/>
          <w:szCs w:val="24"/>
          <w:lang w:eastAsia="ru-RU"/>
        </w:rPr>
        <w:t>1. Утвердить Положение о предотвращении и урегулировании конфликта интересов при осуществлении закупок товаров, работ, услуг для об</w:t>
      </w:r>
      <w:r>
        <w:rPr>
          <w:rFonts w:ascii="Arial" w:cs="Arial" w:eastAsia="Times New Roman" w:hAnsi="Arial"/>
          <w:color w:val="000000"/>
          <w:sz w:val="24"/>
          <w:szCs w:val="24"/>
          <w:lang w:eastAsia="ru-RU"/>
        </w:rPr>
        <w:t>еспечения</w:t>
      </w:r>
      <w:r>
        <w:rPr>
          <w:rFonts w:ascii="Arial" w:cs="Arial" w:eastAsia="Times New Roman" w:hAnsi="Arial"/>
          <w:color w:val="000000"/>
          <w:sz w:val="24"/>
          <w:szCs w:val="24"/>
          <w:lang w:eastAsia="ru-RU"/>
        </w:rPr>
        <w:br w:type="textWrapping"/>
      </w:r>
      <w:r>
        <w:rPr>
          <w:rFonts w:ascii="Arial" w:cs="Arial" w:eastAsia="Times New Roman" w:hAnsi="Arial"/>
          <w:color w:val="000000"/>
          <w:sz w:val="24"/>
          <w:szCs w:val="24"/>
          <w:lang w:eastAsia="ru-RU"/>
        </w:rPr>
        <w:t>муниципальных нужд в а</w:t>
      </w:r>
      <w:r>
        <w:rPr>
          <w:rFonts w:ascii="Arial" w:cs="Arial" w:eastAsia="Times New Roman" w:hAnsi="Arial"/>
          <w:color w:val="000000"/>
          <w:sz w:val="24"/>
          <w:szCs w:val="24"/>
          <w:lang w:eastAsia="ru-RU"/>
        </w:rPr>
        <w:t>дминистрации </w:t>
      </w:r>
      <w:bookmarkEnd w:id="0"/>
      <w:r>
        <w:rPr>
          <w:rFonts w:ascii="Arial" w:cs="Arial" w:eastAsia="Times New Roman" w:hAnsi="Arial"/>
          <w:color w:val="000000"/>
          <w:sz w:val="24"/>
          <w:szCs w:val="24"/>
          <w:lang w:eastAsia="ru-RU"/>
        </w:rPr>
        <w:t xml:space="preserve"> </w:t>
      </w:r>
      <w:r>
        <w:rPr>
          <w:rFonts w:ascii="Arial" w:cs="Arial" w:eastAsia="Times New Roman" w:hAnsi="Arial"/>
          <w:color w:val="000000"/>
          <w:sz w:val="24"/>
          <w:szCs w:val="24"/>
          <w:lang w:eastAsia="ru-RU"/>
        </w:rPr>
        <w:t>Портбайкальского муниципального образования</w:t>
      </w:r>
      <w:r>
        <w:rPr>
          <w:rFonts w:ascii="Arial" w:cs="Arial" w:eastAsia="Times New Roman" w:hAnsi="Arial"/>
          <w:color w:val="000000"/>
          <w:sz w:val="24"/>
          <w:szCs w:val="24"/>
          <w:lang w:eastAsia="ru-RU"/>
        </w:rPr>
        <w:t xml:space="preserve"> </w:t>
      </w:r>
      <w:r>
        <w:rPr>
          <w:rFonts w:ascii="Arial" w:cs="Arial" w:eastAsia="Times New Roman" w:hAnsi="Arial"/>
          <w:color w:val="000000"/>
          <w:sz w:val="24"/>
          <w:szCs w:val="24"/>
          <w:lang w:eastAsia="ru-RU"/>
        </w:rPr>
        <w:t>(Приложение № 1).</w:t>
      </w:r>
    </w:p>
    <w:p w14:paraId="0000000E">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2. Должностным лицам</w:t>
      </w:r>
      <w:r>
        <w:rPr>
          <w:rFonts w:ascii="Arial" w:cs="Arial" w:eastAsia="Times New Roman" w:hAnsi="Arial"/>
          <w:color w:val="000000"/>
          <w:sz w:val="24"/>
          <w:szCs w:val="24"/>
          <w:lang w:eastAsia="ru-RU"/>
        </w:rPr>
        <w:t xml:space="preserve"> </w:t>
      </w:r>
      <w:r>
        <w:rPr>
          <w:rFonts w:ascii="Arial" w:cs="Arial" w:eastAsia="Times New Roman" w:hAnsi="Arial"/>
          <w:color w:val="000000"/>
          <w:sz w:val="24"/>
          <w:szCs w:val="24"/>
          <w:lang w:eastAsia="ru-RU"/>
        </w:rPr>
        <w:t>администрации Портбайкальского муниципального образования</w:t>
      </w:r>
      <w:r>
        <w:rPr>
          <w:rFonts w:ascii="Arial" w:cs="Arial" w:eastAsia="Times New Roman" w:hAnsi="Arial"/>
          <w:color w:val="000000"/>
          <w:sz w:val="24"/>
          <w:szCs w:val="24"/>
          <w:lang w:eastAsia="ru-RU"/>
        </w:rPr>
        <w:t xml:space="preserve"> </w:t>
      </w:r>
      <w:r>
        <w:rPr>
          <w:rFonts w:ascii="Arial" w:cs="Arial" w:eastAsia="Times New Roman" w:hAnsi="Arial"/>
          <w:color w:val="000000"/>
          <w:sz w:val="24"/>
          <w:szCs w:val="24"/>
          <w:lang w:eastAsia="ru-RU"/>
        </w:rPr>
        <w:t>ежегодно до 30 апреля за предшествующий год </w:t>
      </w:r>
      <w:r>
        <w:rPr>
          <w:rFonts w:ascii="Arial" w:cs="Arial" w:eastAsia="Times New Roman" w:hAnsi="Arial"/>
          <w:color w:val="000000"/>
          <w:sz w:val="24"/>
          <w:szCs w:val="24"/>
          <w:lang w:eastAsia="ru-RU"/>
        </w:rPr>
        <w:t xml:space="preserve">представлять </w:t>
      </w:r>
      <w:r>
        <w:rPr>
          <w:rFonts w:ascii="Arial" w:cs="Arial" w:eastAsia="Times New Roman" w:hAnsi="Arial"/>
          <w:color w:val="000000"/>
          <w:sz w:val="24"/>
          <w:szCs w:val="24"/>
          <w:lang w:eastAsia="ru-RU"/>
        </w:rPr>
        <w:t>декларации о возм</w:t>
      </w:r>
      <w:r>
        <w:rPr>
          <w:rFonts w:ascii="Arial" w:cs="Arial" w:eastAsia="Times New Roman" w:hAnsi="Arial"/>
          <w:color w:val="000000"/>
          <w:sz w:val="24"/>
          <w:szCs w:val="24"/>
          <w:lang w:eastAsia="ru-RU"/>
        </w:rPr>
        <w:t>ожной личной заинтересованности.</w:t>
      </w:r>
    </w:p>
    <w:p w14:paraId="0000000F">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3</w:t>
      </w:r>
      <w:r>
        <w:rPr>
          <w:rFonts w:ascii="Arial" w:cs="Arial" w:eastAsia="Times New Roman" w:hAnsi="Arial"/>
          <w:color w:val="000000"/>
          <w:sz w:val="24"/>
          <w:szCs w:val="24"/>
          <w:lang w:eastAsia="ru-RU"/>
        </w:rPr>
        <w:t>. Контроль исполнения настоящего постановления оставляю за собой.</w:t>
      </w:r>
    </w:p>
    <w:p w14:paraId="00000010">
      <w:pPr>
        <w:spacing w:after="0" w:line="240" w:lineRule="auto"/>
        <w:ind w:firstLine="709"/>
        <w:jc w:val="both"/>
        <w:rPr>
          <w:rFonts w:ascii="Arial" w:cs="Arial" w:eastAsia="Times New Roman" w:hAnsi="Arial"/>
          <w:color w:val="000000"/>
          <w:sz w:val="24"/>
          <w:szCs w:val="24"/>
          <w:lang w:eastAsia="ru-RU"/>
        </w:rPr>
      </w:pPr>
    </w:p>
    <w:p w14:paraId="00000011">
      <w:pPr>
        <w:spacing w:after="0" w:line="240" w:lineRule="auto"/>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Глава Портбайкальского</w:t>
      </w:r>
    </w:p>
    <w:p w14:paraId="00000012">
      <w:pPr>
        <w:spacing w:after="0" w:line="240" w:lineRule="auto"/>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муниципального образования                                                                      Н.И. Симакова</w:t>
      </w:r>
    </w:p>
    <w:p w14:paraId="00000013">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 </w:t>
      </w:r>
    </w:p>
    <w:p w14:paraId="00000014">
      <w:pPr>
        <w:spacing w:after="0" w:line="240" w:lineRule="auto"/>
        <w:ind w:firstLine="709"/>
        <w:jc w:val="both"/>
        <w:rPr>
          <w:rFonts w:ascii="Arial" w:cs="Arial" w:eastAsia="Times New Roman" w:hAnsi="Arial"/>
          <w:color w:val="000000"/>
          <w:lang w:eastAsia="ru-RU"/>
        </w:rPr>
      </w:pPr>
      <w:r>
        <w:rPr>
          <w:rFonts w:ascii="Arial" w:cs="Arial" w:eastAsia="Times New Roman" w:hAnsi="Arial"/>
          <w:color w:val="000000"/>
          <w:sz w:val="24"/>
          <w:szCs w:val="24"/>
          <w:lang w:eastAsia="ru-RU"/>
        </w:rPr>
        <w:t> </w:t>
      </w:r>
    </w:p>
    <w:p w14:paraId="00000015">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 </w:t>
      </w:r>
    </w:p>
    <w:p w14:paraId="00000016">
      <w:pPr>
        <w:spacing w:after="0" w:line="240" w:lineRule="auto"/>
        <w:ind w:firstLine="709"/>
        <w:jc w:val="both"/>
        <w:rPr>
          <w:rFonts w:ascii="Arial" w:cs="Arial" w:eastAsia="Times New Roman" w:hAnsi="Arial"/>
          <w:color w:val="000000"/>
          <w:lang w:eastAsia="ru-RU"/>
        </w:rPr>
      </w:pPr>
    </w:p>
    <w:p w14:paraId="00000017">
      <w:pPr>
        <w:spacing w:after="0" w:line="240" w:lineRule="auto"/>
        <w:ind w:firstLine="709"/>
        <w:jc w:val="both"/>
        <w:rPr>
          <w:rFonts w:ascii="Arial" w:cs="Arial" w:eastAsia="Times New Roman" w:hAnsi="Arial"/>
          <w:color w:val="000000"/>
          <w:lang w:eastAsia="ru-RU"/>
        </w:rPr>
      </w:pPr>
    </w:p>
    <w:p w14:paraId="00000018">
      <w:pPr>
        <w:spacing w:after="0" w:line="240" w:lineRule="auto"/>
        <w:ind w:firstLine="709"/>
        <w:jc w:val="both"/>
        <w:rPr>
          <w:rFonts w:ascii="Arial" w:cs="Arial" w:eastAsia="Times New Roman" w:hAnsi="Arial"/>
          <w:color w:val="000000"/>
          <w:lang w:eastAsia="ru-RU"/>
        </w:rPr>
      </w:pPr>
    </w:p>
    <w:p w14:paraId="00000019">
      <w:pPr>
        <w:spacing w:after="0" w:line="240" w:lineRule="auto"/>
        <w:ind w:firstLine="709"/>
        <w:jc w:val="both"/>
        <w:rPr>
          <w:rFonts w:ascii="Arial" w:cs="Arial" w:eastAsia="Times New Roman" w:hAnsi="Arial"/>
          <w:color w:val="000000"/>
          <w:lang w:eastAsia="ru-RU"/>
        </w:rPr>
      </w:pPr>
    </w:p>
    <w:p w14:paraId="0000001A">
      <w:pPr>
        <w:spacing w:after="0" w:line="240" w:lineRule="auto"/>
        <w:ind w:firstLine="709"/>
        <w:jc w:val="both"/>
        <w:rPr>
          <w:rFonts w:ascii="Arial" w:cs="Arial" w:eastAsia="Times New Roman" w:hAnsi="Arial"/>
          <w:color w:val="000000"/>
          <w:lang w:eastAsia="ru-RU"/>
        </w:rPr>
      </w:pPr>
    </w:p>
    <w:p w14:paraId="0000001B">
      <w:pPr>
        <w:spacing w:after="0" w:line="240" w:lineRule="auto"/>
        <w:ind w:firstLine="709"/>
        <w:jc w:val="both"/>
        <w:rPr>
          <w:rFonts w:ascii="Arial" w:cs="Arial" w:eastAsia="Times New Roman" w:hAnsi="Arial"/>
          <w:color w:val="000000"/>
          <w:lang w:eastAsia="ru-RU"/>
        </w:rPr>
      </w:pPr>
    </w:p>
    <w:p w14:paraId="0000001C">
      <w:pPr>
        <w:spacing w:after="0" w:line="240" w:lineRule="auto"/>
        <w:ind w:firstLine="709"/>
        <w:jc w:val="both"/>
        <w:rPr>
          <w:rFonts w:ascii="Arial" w:cs="Arial" w:eastAsia="Times New Roman" w:hAnsi="Arial"/>
          <w:color w:val="000000"/>
          <w:lang w:eastAsia="ru-RU"/>
        </w:rPr>
      </w:pPr>
    </w:p>
    <w:p w14:paraId="0000001D">
      <w:pPr>
        <w:spacing w:after="0" w:line="240" w:lineRule="auto"/>
        <w:ind w:firstLine="709"/>
        <w:jc w:val="both"/>
        <w:rPr>
          <w:rFonts w:ascii="Arial" w:cs="Arial" w:eastAsia="Times New Roman" w:hAnsi="Arial"/>
          <w:color w:val="000000"/>
          <w:lang w:eastAsia="ru-RU"/>
        </w:rPr>
      </w:pPr>
      <w:r>
        <w:rPr>
          <w:rFonts w:ascii="Arial" w:cs="Arial" w:eastAsia="Times New Roman" w:hAnsi="Arial"/>
          <w:color w:val="000000"/>
          <w:sz w:val="24"/>
          <w:szCs w:val="24"/>
          <w:lang w:eastAsia="ru-RU"/>
        </w:rPr>
        <w:t> </w:t>
      </w:r>
    </w:p>
    <w:p w14:paraId="0000001E">
      <w:pPr>
        <w:spacing w:after="0" w:line="240" w:lineRule="auto"/>
        <w:ind w:firstLine="709"/>
        <w:jc w:val="right"/>
        <w:rPr>
          <w:rFonts w:ascii="Arial" w:cs="Arial" w:eastAsia="Times New Roman" w:hAnsi="Arial"/>
          <w:color w:val="000000"/>
          <w:lang w:eastAsia="ru-RU"/>
        </w:rPr>
      </w:pPr>
      <w:r>
        <w:rPr>
          <w:rFonts w:ascii="Arial" w:cs="Arial" w:eastAsia="Times New Roman" w:hAnsi="Arial"/>
          <w:color w:val="000000"/>
          <w:sz w:val="24"/>
          <w:szCs w:val="24"/>
          <w:lang w:eastAsia="ru-RU"/>
        </w:rPr>
        <w:t>Приложение № 1 </w:t>
      </w:r>
    </w:p>
    <w:p w14:paraId="0000001F">
      <w:pPr>
        <w:spacing w:after="0" w:line="240" w:lineRule="auto"/>
        <w:ind w:firstLine="709"/>
        <w:jc w:val="right"/>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к постановлению а</w:t>
      </w:r>
      <w:r>
        <w:rPr>
          <w:rFonts w:ascii="Arial" w:cs="Arial" w:eastAsia="Times New Roman" w:hAnsi="Arial"/>
          <w:color w:val="000000"/>
          <w:sz w:val="24"/>
          <w:szCs w:val="24"/>
          <w:lang w:eastAsia="ru-RU"/>
        </w:rPr>
        <w:t>дминистрации</w:t>
      </w:r>
    </w:p>
    <w:p w14:paraId="00000020">
      <w:pPr>
        <w:spacing w:after="0" w:line="240" w:lineRule="auto"/>
        <w:ind w:firstLine="709"/>
        <w:jc w:val="right"/>
        <w:rPr>
          <w:rFonts w:ascii="Arial" w:cs="Arial" w:eastAsia="Times New Roman" w:hAnsi="Arial"/>
          <w:color w:val="000000"/>
          <w:lang w:eastAsia="ru-RU"/>
        </w:rPr>
      </w:pPr>
      <w:r>
        <w:rPr>
          <w:rFonts w:ascii="Arial" w:cs="Arial" w:eastAsia="Times New Roman" w:hAnsi="Arial"/>
          <w:color w:val="000000"/>
          <w:sz w:val="24"/>
          <w:szCs w:val="24"/>
          <w:lang w:eastAsia="ru-RU"/>
        </w:rPr>
        <w:t>Портбайкальского муниципального образования</w:t>
      </w:r>
    </w:p>
    <w:p w14:paraId="00000021">
      <w:pPr>
        <w:spacing w:after="0" w:line="240" w:lineRule="auto"/>
        <w:ind w:firstLine="709"/>
        <w:jc w:val="right"/>
        <w:rPr>
          <w:rFonts w:ascii="Arial" w:cs="Arial" w:eastAsia="Times New Roman" w:hAnsi="Arial"/>
          <w:color w:val="000000"/>
          <w:lang w:eastAsia="ru-RU"/>
        </w:rPr>
      </w:pPr>
      <w:r>
        <w:rPr>
          <w:rFonts w:ascii="Arial" w:cs="Arial" w:eastAsia="Times New Roman" w:hAnsi="Arial"/>
          <w:color w:val="000000"/>
          <w:sz w:val="24"/>
          <w:szCs w:val="24"/>
          <w:lang w:eastAsia="ru-RU"/>
        </w:rPr>
        <w:t>От</w:t>
      </w:r>
      <w:r>
        <w:rPr>
          <w:rFonts w:ascii="Arial" w:cs="Arial" w:eastAsia="Times New Roman" w:hAnsi="Arial"/>
          <w:color w:val="000000"/>
          <w:sz w:val="24"/>
          <w:szCs w:val="24"/>
          <w:lang w:eastAsia="ru-RU"/>
        </w:rPr>
        <w:t xml:space="preserve"> 26.08.2024г</w:t>
      </w:r>
      <w:r>
        <w:rPr>
          <w:rFonts w:ascii="Arial" w:cs="Arial" w:eastAsia="Times New Roman" w:hAnsi="Arial"/>
          <w:color w:val="000000"/>
          <w:sz w:val="24"/>
          <w:szCs w:val="24"/>
          <w:lang w:eastAsia="ru-RU"/>
        </w:rPr>
        <w:t>. № 33</w:t>
      </w:r>
    </w:p>
    <w:p w14:paraId="00000022">
      <w:pPr>
        <w:spacing w:after="0" w:line="240" w:lineRule="auto"/>
        <w:ind w:firstLine="709"/>
        <w:jc w:val="center"/>
        <w:rPr>
          <w:rFonts w:ascii="Arial" w:cs="Arial" w:eastAsia="Times New Roman" w:hAnsi="Arial"/>
          <w:color w:val="000000"/>
          <w:lang w:eastAsia="ru-RU"/>
        </w:rPr>
      </w:pPr>
      <w:r>
        <w:rPr>
          <w:rFonts w:ascii="Arial" w:cs="Arial" w:eastAsia="Times New Roman" w:hAnsi="Arial"/>
          <w:color w:val="000000"/>
          <w:sz w:val="24"/>
          <w:szCs w:val="24"/>
          <w:lang w:eastAsia="ru-RU"/>
        </w:rPr>
        <w:t> </w:t>
      </w:r>
    </w:p>
    <w:p w14:paraId="00000023">
      <w:pPr>
        <w:spacing w:after="0" w:line="240" w:lineRule="auto"/>
        <w:ind w:firstLine="709"/>
        <w:jc w:val="center"/>
        <w:rPr>
          <w:rFonts w:ascii="Arial" w:cs="Arial" w:eastAsia="Times New Roman" w:hAnsi="Arial"/>
          <w:color w:val="000000"/>
          <w:lang w:eastAsia="ru-RU"/>
        </w:rPr>
      </w:pPr>
      <w:r>
        <w:rPr>
          <w:rFonts w:ascii="Arial" w:cs="Arial" w:eastAsia="Times New Roman" w:hAnsi="Arial"/>
          <w:color w:val="000000"/>
          <w:sz w:val="24"/>
          <w:szCs w:val="24"/>
          <w:lang w:eastAsia="ru-RU"/>
        </w:rPr>
        <w:t>ПОЛОЖЕНИЕ</w:t>
      </w:r>
    </w:p>
    <w:p w14:paraId="00000024">
      <w:pPr>
        <w:spacing w:after="0" w:line="240" w:lineRule="auto"/>
        <w:ind w:firstLine="709"/>
        <w:jc w:val="center"/>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о предотвращении и урегулировании конфликта интересов при</w:t>
      </w:r>
      <w:r>
        <w:rPr>
          <w:rFonts w:ascii="Arial" w:cs="Arial" w:eastAsia="Times New Roman" w:hAnsi="Arial"/>
          <w:color w:val="000000"/>
          <w:lang w:eastAsia="ru-RU"/>
        </w:rPr>
        <w:br w:type="textWrapping"/>
      </w:r>
      <w:r>
        <w:rPr>
          <w:rFonts w:ascii="Arial" w:cs="Arial" w:eastAsia="Times New Roman" w:hAnsi="Arial"/>
          <w:color w:val="000000"/>
          <w:sz w:val="24"/>
          <w:szCs w:val="24"/>
          <w:lang w:eastAsia="ru-RU"/>
        </w:rPr>
        <w:t>осуществлении закупок товаров, работ, услуг для обеспечения</w:t>
      </w:r>
      <w:r>
        <w:rPr>
          <w:rFonts w:ascii="Arial" w:cs="Arial" w:eastAsia="Times New Roman" w:hAnsi="Arial"/>
          <w:color w:val="000000"/>
          <w:lang w:eastAsia="ru-RU"/>
        </w:rPr>
        <w:br w:type="textWrapping"/>
      </w:r>
      <w:r>
        <w:rPr>
          <w:rFonts w:ascii="Arial" w:cs="Arial" w:eastAsia="Times New Roman" w:hAnsi="Arial"/>
          <w:color w:val="000000"/>
          <w:sz w:val="24"/>
          <w:szCs w:val="24"/>
          <w:lang w:eastAsia="ru-RU"/>
        </w:rPr>
        <w:t>мун</w:t>
      </w:r>
      <w:r>
        <w:rPr>
          <w:rFonts w:ascii="Arial" w:cs="Arial" w:eastAsia="Times New Roman" w:hAnsi="Arial"/>
          <w:color w:val="000000"/>
          <w:sz w:val="24"/>
          <w:szCs w:val="24"/>
          <w:lang w:eastAsia="ru-RU"/>
        </w:rPr>
        <w:t xml:space="preserve">иципальных нужд в </w:t>
      </w:r>
      <w:r>
        <w:rPr>
          <w:rFonts w:ascii="Arial" w:cs="Arial" w:eastAsia="Times New Roman" w:hAnsi="Arial"/>
          <w:color w:val="000000"/>
          <w:sz w:val="24"/>
          <w:szCs w:val="24"/>
          <w:lang w:eastAsia="ru-RU"/>
        </w:rPr>
        <w:t xml:space="preserve">администрации </w:t>
      </w:r>
    </w:p>
    <w:p w14:paraId="00000025">
      <w:pPr>
        <w:spacing w:after="0" w:line="240" w:lineRule="auto"/>
        <w:ind w:firstLine="709"/>
        <w:jc w:val="center"/>
        <w:rPr>
          <w:rFonts w:ascii="Arial" w:cs="Arial" w:eastAsia="Times New Roman" w:hAnsi="Arial"/>
          <w:color w:val="000000"/>
          <w:lang w:eastAsia="ru-RU"/>
        </w:rPr>
      </w:pPr>
      <w:r>
        <w:rPr>
          <w:rFonts w:ascii="Arial" w:cs="Arial" w:eastAsia="Times New Roman" w:hAnsi="Arial"/>
          <w:color w:val="000000"/>
          <w:sz w:val="24"/>
          <w:szCs w:val="24"/>
          <w:lang w:eastAsia="ru-RU"/>
        </w:rPr>
        <w:t>Портбайкальского муниципального образования</w:t>
      </w:r>
    </w:p>
    <w:p w14:paraId="00000026">
      <w:pPr>
        <w:spacing w:after="0" w:line="240" w:lineRule="auto"/>
        <w:ind w:firstLine="709"/>
        <w:jc w:val="center"/>
        <w:rPr>
          <w:rFonts w:ascii="Arial" w:cs="Arial" w:eastAsia="Times New Roman" w:hAnsi="Arial"/>
          <w:color w:val="000000"/>
          <w:lang w:eastAsia="ru-RU"/>
        </w:rPr>
      </w:pPr>
      <w:r>
        <w:rPr>
          <w:rFonts w:ascii="Arial" w:cs="Arial" w:eastAsia="Times New Roman" w:hAnsi="Arial"/>
          <w:color w:val="000000"/>
          <w:sz w:val="24"/>
          <w:szCs w:val="24"/>
          <w:lang w:eastAsia="ru-RU"/>
        </w:rPr>
        <w:t> </w:t>
      </w:r>
    </w:p>
    <w:p w14:paraId="00000027">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1.</w:t>
      </w:r>
      <w:r>
        <w:rPr>
          <w:rFonts w:ascii="Times New Roman" w:cs="Times New Roman" w:eastAsia="Times New Roman" w:hAnsi="Times New Roman"/>
          <w:color w:val="000000"/>
          <w:sz w:val="14"/>
          <w:szCs w:val="14"/>
          <w:lang w:eastAsia="ru-RU"/>
        </w:rPr>
        <w:t>                 </w:t>
      </w:r>
      <w:bookmarkStart w:id="1" w:name="bookmark0"/>
      <w:r>
        <w:rPr>
          <w:rFonts w:ascii="Arial" w:cs="Arial" w:eastAsia="Times New Roman" w:hAnsi="Arial"/>
          <w:color w:val="000000"/>
          <w:sz w:val="24"/>
          <w:szCs w:val="24"/>
          <w:lang w:eastAsia="ru-RU"/>
        </w:rPr>
        <w:t>Общие положения</w:t>
      </w:r>
      <w:bookmarkEnd w:id="1"/>
    </w:p>
    <w:p w14:paraId="00000028">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1.1.</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Настоящее Положение разработано в соответствии с требованиями Федеральн</w:t>
      </w:r>
      <w:r>
        <w:rPr>
          <w:rFonts w:ascii="Arial" w:cs="Arial" w:eastAsia="Times New Roman" w:hAnsi="Arial"/>
          <w:color w:val="000000"/>
          <w:sz w:val="24"/>
          <w:szCs w:val="24"/>
          <w:lang w:eastAsia="ru-RU"/>
        </w:rPr>
        <w:t>ого закона от 25 декабря 2008 года</w:t>
      </w:r>
      <w:r>
        <w:rPr>
          <w:rFonts w:ascii="Arial" w:cs="Arial" w:eastAsia="Times New Roman" w:hAnsi="Arial"/>
          <w:color w:val="000000"/>
          <w:sz w:val="24"/>
          <w:szCs w:val="24"/>
          <w:lang w:eastAsia="ru-RU"/>
        </w:rPr>
        <w:t> </w:t>
      </w:r>
      <w:r>
        <w:rPr>
          <w:rFonts w:ascii="Arial" w:cs="Arial" w:eastAsia="Times New Roman" w:hAnsi="Arial"/>
          <w:color w:val="000000"/>
          <w:sz w:val="24"/>
          <w:szCs w:val="24"/>
          <w:lang w:eastAsia="ru-RU"/>
        </w:rPr>
        <w:t>№ 273-ФЗ «О противодействии коррупции» (далее - Федеральный закон №</w:t>
      </w:r>
      <w:r>
        <w:rPr>
          <w:rFonts w:ascii="Arial" w:cs="Arial" w:eastAsia="Times New Roman" w:hAnsi="Arial"/>
          <w:color w:val="000000"/>
          <w:sz w:val="24"/>
          <w:szCs w:val="24"/>
          <w:lang w:eastAsia="ru-RU"/>
        </w:rPr>
        <w:t> 273-ФЗ), положениями Методических рекомендаций по проведению в федеральных государственных органах, органах государственной власти субъектов Российской Федерации, органах местного самоуправления, государственных внебюджетных фондах и иных организациях, осуществляющих закупки в соответствии с Федерал</w:t>
      </w:r>
      <w:r>
        <w:rPr>
          <w:rFonts w:ascii="Arial" w:cs="Arial" w:eastAsia="Times New Roman" w:hAnsi="Arial"/>
          <w:color w:val="000000"/>
          <w:sz w:val="24"/>
          <w:szCs w:val="24"/>
          <w:lang w:eastAsia="ru-RU"/>
        </w:rPr>
        <w:t>ьным законом от 5 апреля 2013 года</w:t>
      </w:r>
      <w:r>
        <w:rPr>
          <w:rFonts w:ascii="Arial" w:cs="Arial" w:eastAsia="Times New Roman" w:hAnsi="Arial"/>
          <w:color w:val="000000"/>
          <w:sz w:val="24"/>
          <w:szCs w:val="24"/>
          <w:lang w:eastAsia="ru-RU"/>
        </w:rPr>
        <w:t> </w:t>
      </w:r>
      <w:r>
        <w:rPr>
          <w:rFonts w:ascii="Arial" w:cs="Arial" w:eastAsia="Times New Roman" w:hAnsi="Arial"/>
          <w:color w:val="000000"/>
          <w:sz w:val="24"/>
          <w:szCs w:val="24"/>
          <w:lang w:eastAsia="ru-RU"/>
        </w:rPr>
        <w:t>№ 44-ФЗ «</w:t>
      </w:r>
      <w:r>
        <w:rPr>
          <w:rFonts w:ascii="Arial" w:cs="Arial" w:eastAsia="Times New Roman" w:hAnsi="Arial"/>
          <w:color w:val="000000"/>
          <w:sz w:val="24"/>
          <w:szCs w:val="24"/>
          <w:lang w:eastAsia="ru-RU"/>
        </w:rPr>
        <w:t>О контрактной системе в сфере закупок товаров, работ, услуг для обеспечения госуд</w:t>
      </w:r>
      <w:r>
        <w:rPr>
          <w:rFonts w:ascii="Arial" w:cs="Arial" w:eastAsia="Times New Roman" w:hAnsi="Arial"/>
          <w:color w:val="000000"/>
          <w:sz w:val="24"/>
          <w:szCs w:val="24"/>
          <w:lang w:eastAsia="ru-RU"/>
        </w:rPr>
        <w:t>арственных и муниципальных нужд»</w:t>
      </w:r>
      <w:r>
        <w:rPr>
          <w:rFonts w:ascii="Arial" w:cs="Arial" w:eastAsia="Times New Roman" w:hAnsi="Arial"/>
          <w:color w:val="000000"/>
          <w:sz w:val="24"/>
          <w:szCs w:val="24"/>
          <w:lang w:eastAsia="ru-RU"/>
        </w:rPr>
        <w:t xml:space="preserve"> и Федеральным законом от 18 июля 2011 г</w:t>
      </w:r>
      <w:r>
        <w:rPr>
          <w:rFonts w:ascii="Arial" w:cs="Arial" w:eastAsia="Times New Roman" w:hAnsi="Arial"/>
          <w:color w:val="000000"/>
          <w:sz w:val="24"/>
          <w:szCs w:val="24"/>
          <w:lang w:eastAsia="ru-RU"/>
        </w:rPr>
        <w:t>ода</w:t>
      </w:r>
      <w:r>
        <w:rPr>
          <w:rFonts w:ascii="Arial" w:cs="Arial" w:eastAsia="Times New Roman" w:hAnsi="Arial"/>
          <w:color w:val="000000"/>
          <w:sz w:val="24"/>
          <w:szCs w:val="24"/>
          <w:lang w:eastAsia="ru-RU"/>
        </w:rPr>
        <w:t> </w:t>
      </w:r>
      <w:r>
        <w:rPr>
          <w:rFonts w:ascii="Arial" w:cs="Arial" w:eastAsia="Times New Roman" w:hAnsi="Arial"/>
          <w:color w:val="000000"/>
          <w:sz w:val="24"/>
          <w:szCs w:val="24"/>
          <w:lang w:eastAsia="ru-RU"/>
        </w:rPr>
        <w:t>№ 223-ФЗ «</w:t>
      </w:r>
      <w:r>
        <w:rPr>
          <w:rFonts w:ascii="Arial" w:cs="Arial" w:eastAsia="Times New Roman" w:hAnsi="Arial"/>
          <w:color w:val="000000"/>
          <w:sz w:val="24"/>
          <w:szCs w:val="24"/>
          <w:lang w:eastAsia="ru-RU"/>
        </w:rPr>
        <w:t>О закупках товаров, работ, услуг от</w:t>
      </w:r>
      <w:r>
        <w:rPr>
          <w:rFonts w:ascii="Arial" w:cs="Arial" w:eastAsia="Times New Roman" w:hAnsi="Arial"/>
          <w:color w:val="000000"/>
          <w:sz w:val="24"/>
          <w:szCs w:val="24"/>
          <w:lang w:eastAsia="ru-RU"/>
        </w:rPr>
        <w:t>дельными видами юридических лиц»</w:t>
      </w:r>
      <w:r>
        <w:rPr>
          <w:rFonts w:ascii="Arial" w:cs="Arial" w:eastAsia="Times New Roman" w:hAnsi="Arial"/>
          <w:color w:val="000000"/>
          <w:sz w:val="24"/>
          <w:szCs w:val="24"/>
          <w:lang w:eastAsia="ru-RU"/>
        </w:rPr>
        <w:t>, работы, направленной на выявление личной заинтересованности должностных лиц, работников при осуществлении таких закупок, которая приводит или может привести к конфликту интересов и определяет порядок осуществления работы, направленной на выявление личной заинтересованности работников сельского поселения (далее - Заказчик), которая приводит или может привести к конфликту интересов при осуществлении закупок товаров, работ, услуг для обеспечения муниципальных нужд (далее - закупки).</w:t>
      </w:r>
    </w:p>
    <w:p w14:paraId="00000029">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1.2.</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При организации работы, направленной на выявление личной заинтересованности работников </w:t>
      </w:r>
      <w:r>
        <w:rPr>
          <w:rFonts w:ascii="Arial" w:cs="Arial" w:eastAsia="Times New Roman" w:hAnsi="Arial"/>
          <w:color w:val="000000"/>
          <w:sz w:val="24"/>
          <w:szCs w:val="24"/>
          <w:lang w:eastAsia="ru-RU"/>
        </w:rPr>
        <w:t>администрации Портбайкальского муниципального образования</w:t>
      </w:r>
      <w:r>
        <w:rPr>
          <w:rFonts w:ascii="Arial" w:cs="Arial" w:eastAsia="Times New Roman" w:hAnsi="Arial"/>
          <w:color w:val="000000"/>
          <w:sz w:val="24"/>
          <w:szCs w:val="24"/>
          <w:lang w:eastAsia="ru-RU"/>
        </w:rPr>
        <w:t xml:space="preserve"> </w:t>
      </w:r>
      <w:r>
        <w:rPr>
          <w:rFonts w:ascii="Arial" w:cs="Arial" w:eastAsia="Times New Roman" w:hAnsi="Arial"/>
          <w:color w:val="000000"/>
          <w:sz w:val="24"/>
          <w:szCs w:val="24"/>
          <w:lang w:eastAsia="ru-RU"/>
        </w:rPr>
        <w:t>(далее – Администрация) при осуществлении закупок, которая приводит или может привести к конфликту интересов, Заказчик реализует ряд правовых, организационных, профилактических и иных мероприятий.</w:t>
      </w:r>
      <w:r>
        <w:rPr>
          <w:rFonts w:ascii="Arial" w:cs="Arial" w:eastAsia="Times New Roman" w:hAnsi="Arial"/>
          <w:color w:val="000000"/>
          <w:sz w:val="24"/>
          <w:szCs w:val="24"/>
          <w:lang w:eastAsia="ru-RU"/>
        </w:rPr>
        <w:t xml:space="preserve"> </w:t>
      </w:r>
    </w:p>
    <w:p w14:paraId="0000002A">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1.3.</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При осуществлении указанных мероприятий Заказчик исходит не только из принципа законности, но и из принципа результативности проводимых мероприятий (принцип ориентации на результат) и принципа учета имеющихся в распоряжении Заказчика ресурсов (человеческих, финансовых и иных).</w:t>
      </w:r>
    </w:p>
    <w:p w14:paraId="0000002B">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1.4.</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Работа, направленная на выявление личной заинтересованности работников Администрации при осуществлении закупок, которая приводит или может привести к конфликту интересов, является одним из элементов комплекса мероприятий, осуществляемых Заказчиком для целей профилактики коррупции.</w:t>
      </w:r>
    </w:p>
    <w:p w14:paraId="0000002C">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2.</w:t>
      </w:r>
      <w:r>
        <w:rPr>
          <w:rFonts w:ascii="Times New Roman" w:cs="Times New Roman" w:eastAsia="Times New Roman" w:hAnsi="Times New Roman"/>
          <w:color w:val="000000"/>
          <w:sz w:val="14"/>
          <w:szCs w:val="14"/>
          <w:lang w:eastAsia="ru-RU"/>
        </w:rPr>
        <w:t>                 </w:t>
      </w:r>
      <w:bookmarkStart w:id="2" w:name="bookmark1"/>
      <w:r>
        <w:rPr>
          <w:rFonts w:ascii="Arial" w:cs="Arial" w:eastAsia="Times New Roman" w:hAnsi="Arial"/>
          <w:color w:val="000000"/>
          <w:sz w:val="24"/>
          <w:szCs w:val="24"/>
          <w:lang w:eastAsia="ru-RU"/>
        </w:rPr>
        <w:t>Основные используемые понятия и определения</w:t>
      </w:r>
      <w:bookmarkEnd w:id="2"/>
    </w:p>
    <w:p w14:paraId="0000002D">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2.1.</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Для целей настоящего Положения используются следующие основные понятия:</w:t>
      </w:r>
    </w:p>
    <w:p w14:paraId="0000002E">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закупка товара, работы, услуги для обеспечения муниципальных нужд (далее - закупка) - совокупность действий, осуществляемых в уст</w:t>
      </w:r>
      <w:r>
        <w:rPr>
          <w:rFonts w:ascii="Arial" w:cs="Arial" w:eastAsia="Times New Roman" w:hAnsi="Arial"/>
          <w:color w:val="000000"/>
          <w:sz w:val="24"/>
          <w:szCs w:val="24"/>
          <w:lang w:eastAsia="ru-RU"/>
        </w:rPr>
        <w:t>ановленном Федеральным законом №</w:t>
      </w:r>
      <w:r>
        <w:rPr>
          <w:rFonts w:ascii="Arial" w:cs="Arial" w:eastAsia="Times New Roman" w:hAnsi="Arial"/>
          <w:color w:val="000000"/>
          <w:sz w:val="24"/>
          <w:szCs w:val="24"/>
          <w:lang w:eastAsia="ru-RU"/>
        </w:rPr>
        <w:t xml:space="preserve"> 44-ФЗ и 223-ФЗ порядке Заказчиком и направленных на обеспечение муниципальных нужд. Закупка начинается с определения поставщика </w:t>
      </w:r>
      <w:r>
        <w:rPr>
          <w:rFonts w:ascii="Arial" w:cs="Arial" w:eastAsia="Times New Roman" w:hAnsi="Arial"/>
          <w:color w:val="000000"/>
          <w:sz w:val="24"/>
          <w:szCs w:val="24"/>
          <w:lang w:eastAsia="ru-RU"/>
        </w:rPr>
        <w:t>(подрядчика, исполнителя) и завершается исполнением обязательств сторонами контракта;</w:t>
      </w:r>
    </w:p>
    <w:p w14:paraId="0000002F">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14:paraId="00000030">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личная заинтересованность -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замещающим должность, замещение которой предусматривает обязанность принимать меры по предотвращению и урегулированию конфликта интересов (далее - должностное лицо),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должностное лицо й (или) лица, состоящие с ним в близком родстве или свойстве, связаны имущественными, корпоративными или иными близкими отношениями;</w:t>
      </w:r>
    </w:p>
    <w:p w14:paraId="00000031">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конфликт интересов - ситуация, при которой личная заинтересованность (прямая или косвенная) должностного лица влияет или может повлиять на надлежащее, объективное и беспристрастное исполнение им должностных обязанностей;</w:t>
      </w:r>
    </w:p>
    <w:p w14:paraId="00000032">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 xml:space="preserve">конфликт интересов в сфере закупок -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r>
        <w:rPr>
          <w:rFonts w:ascii="Arial" w:cs="Arial" w:eastAsia="Times New Roman" w:hAnsi="Arial"/>
          <w:color w:val="000000"/>
          <w:sz w:val="24"/>
          <w:szCs w:val="24"/>
          <w:lang w:eastAsia="ru-RU"/>
        </w:rPr>
        <w:t>неполнородными</w:t>
      </w:r>
      <w:r>
        <w:rPr>
          <w:rFonts w:ascii="Arial" w:cs="Arial" w:eastAsia="Times New Roman" w:hAnsi="Arial"/>
          <w:color w:val="000000"/>
          <w:sz w:val="24"/>
          <w:szCs w:val="24"/>
          <w:lang w:eastAsia="ru-RU"/>
        </w:rPr>
        <w:t xml:space="preserve"> (имеющими общих отца или мать) братьями и сестрами), усыновителями или усыновленными указанных физических лиц.</w:t>
      </w:r>
    </w:p>
    <w:p w14:paraId="00000033">
      <w:pPr>
        <w:spacing w:after="0" w:line="240" w:lineRule="auto"/>
        <w:ind w:firstLine="709"/>
        <w:jc w:val="both"/>
        <w:rPr>
          <w:rFonts w:ascii="Arial" w:cs="Arial" w:eastAsia="Times New Roman" w:hAnsi="Arial"/>
          <w:color w:val="000000"/>
          <w:sz w:val="24"/>
          <w:szCs w:val="24"/>
          <w:lang w:eastAsia="ru-RU"/>
        </w:rPr>
      </w:pPr>
    </w:p>
    <w:p w14:paraId="00000034">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3.</w:t>
      </w:r>
      <w:r>
        <w:rPr>
          <w:rFonts w:ascii="Times New Roman" w:cs="Times New Roman" w:eastAsia="Times New Roman" w:hAnsi="Times New Roman"/>
          <w:color w:val="000000"/>
          <w:sz w:val="14"/>
          <w:szCs w:val="14"/>
          <w:lang w:eastAsia="ru-RU"/>
        </w:rPr>
        <w:t>                 </w:t>
      </w:r>
      <w:bookmarkStart w:id="3" w:name="bookmark2"/>
      <w:r>
        <w:rPr>
          <w:rFonts w:ascii="Arial" w:cs="Arial" w:eastAsia="Times New Roman" w:hAnsi="Arial"/>
          <w:color w:val="000000"/>
          <w:sz w:val="24"/>
          <w:szCs w:val="24"/>
          <w:lang w:eastAsia="ru-RU"/>
        </w:rPr>
        <w:t>Цели и задачи положения</w:t>
      </w:r>
      <w:bookmarkEnd w:id="3"/>
    </w:p>
    <w:p w14:paraId="00000035">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3.1.</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Основными целями внедрения в Администрацию настоящего Положения являются:</w:t>
      </w:r>
    </w:p>
    <w:p w14:paraId="00000036">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минимизация риска вовлечения работников Администрации в коррупционную деятельность при осуществлении закупок;</w:t>
      </w:r>
    </w:p>
    <w:p w14:paraId="00000037">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 xml:space="preserve">формирование у работников Администрации, независимо от занимаемой должности, участников закупки и иных лиц единообразного понимания </w:t>
      </w:r>
      <w:r>
        <w:rPr>
          <w:rFonts w:ascii="Arial" w:cs="Arial" w:eastAsia="Times New Roman" w:hAnsi="Arial"/>
          <w:color w:val="000000"/>
          <w:sz w:val="24"/>
          <w:szCs w:val="24"/>
          <w:lang w:eastAsia="ru-RU"/>
        </w:rPr>
        <w:t>политики Администрации и коррупции в любых формах и проявлениях при осуществлении закупок;</w:t>
      </w:r>
    </w:p>
    <w:p w14:paraId="00000038">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обобщение и разъяснение основных требований законодательства Российской Федерации в области противодействия коррупции, применяемых учреждением при осуществлении закупок.</w:t>
      </w:r>
    </w:p>
    <w:p w14:paraId="00000039">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3.2.</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Для достижения поставленных целей устанавливаются следующие задачи внедрения настоящего Положения в Администрацию:</w:t>
      </w:r>
    </w:p>
    <w:p w14:paraId="0000003A">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закрепление основных принципов деятельности Администрации по раскрытию и урегулированию конфликта интересов при осуществлении закупки;</w:t>
      </w:r>
    </w:p>
    <w:p w14:paraId="0000003B">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определение круга лиц, попадающих под действие настоящего Положения;</w:t>
      </w:r>
    </w:p>
    <w:p w14:paraId="0000003C">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определение должностных лиц Администрации, ответственных за реализацию настоящего Положения;</w:t>
      </w:r>
    </w:p>
    <w:p w14:paraId="0000003D">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определение действий работников Администрации в связи с предупреждением, раскрытием и урегулированием конфликта интересов и порядка их осуществления;</w:t>
      </w:r>
    </w:p>
    <w:p w14:paraId="0000003E">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установление порядка раскрытия конфликта интересов (декларирования) и рассмотрения деклараций и урегулирования конфликта интересов при осуществлении закупок;</w:t>
      </w:r>
    </w:p>
    <w:p w14:paraId="0000003F">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закрепление мер ответственности работников Администрации за несоблюдение требований настоящего Положения.</w:t>
      </w:r>
    </w:p>
    <w:p w14:paraId="00000040">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4.</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Круг лиц, попадающих под действие положения</w:t>
      </w:r>
    </w:p>
    <w:p w14:paraId="00000041">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4.1.</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Действие настоящего Положения распространяется на должностных лиц, в обязанности которых входит осуществление, организация и проведение муниципальных закупок, подготовка или участие в закупках, инициаторов закупок, исполнителей технического задания, организаторов приемки товаров, работ, услуг, должностных лиц, проводящих финансовое исполнение контрактов, а также:</w:t>
      </w:r>
    </w:p>
    <w:p w14:paraId="00000042">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 xml:space="preserve">Глава муниципального </w:t>
      </w:r>
      <w:r>
        <w:rPr>
          <w:rFonts w:ascii="Arial" w:cs="Arial" w:eastAsia="Times New Roman" w:hAnsi="Arial"/>
          <w:color w:val="000000"/>
          <w:sz w:val="24"/>
          <w:szCs w:val="24"/>
          <w:lang w:eastAsia="ru-RU"/>
        </w:rPr>
        <w:t xml:space="preserve">образования </w:t>
      </w:r>
      <w:r>
        <w:rPr>
          <w:rFonts w:ascii="Arial" w:cs="Arial" w:eastAsia="Times New Roman" w:hAnsi="Arial"/>
          <w:color w:val="000000"/>
          <w:sz w:val="24"/>
          <w:szCs w:val="24"/>
          <w:lang w:eastAsia="ru-RU"/>
        </w:rPr>
        <w:t xml:space="preserve">(далее Глава либо </w:t>
      </w:r>
      <w:r>
        <w:rPr>
          <w:rFonts w:ascii="Arial" w:cs="Arial" w:eastAsia="Times New Roman" w:hAnsi="Arial"/>
          <w:color w:val="000000"/>
          <w:sz w:val="24"/>
          <w:szCs w:val="24"/>
          <w:lang w:eastAsia="ru-RU"/>
        </w:rPr>
        <w:t>лицо</w:t>
      </w:r>
      <w:r>
        <w:rPr>
          <w:rFonts w:ascii="Arial" w:cs="Arial" w:eastAsia="Times New Roman" w:hAnsi="Arial"/>
          <w:color w:val="000000"/>
          <w:sz w:val="24"/>
          <w:szCs w:val="24"/>
          <w:lang w:eastAsia="ru-RU"/>
        </w:rPr>
        <w:t xml:space="preserve"> исполняющее его обязанности</w:t>
      </w:r>
      <w:r>
        <w:rPr>
          <w:rFonts w:ascii="Arial" w:cs="Arial" w:eastAsia="Times New Roman" w:hAnsi="Arial"/>
          <w:color w:val="000000"/>
          <w:sz w:val="24"/>
          <w:szCs w:val="24"/>
          <w:lang w:eastAsia="ru-RU"/>
        </w:rPr>
        <w:t>)</w:t>
      </w:r>
      <w:r>
        <w:rPr>
          <w:rFonts w:ascii="Arial" w:cs="Arial" w:eastAsia="Times New Roman" w:hAnsi="Arial"/>
          <w:color w:val="000000"/>
          <w:sz w:val="24"/>
          <w:szCs w:val="24"/>
          <w:lang w:eastAsia="ru-RU"/>
        </w:rPr>
        <w:t>;</w:t>
      </w:r>
    </w:p>
    <w:p w14:paraId="00000043">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 должностные лица Администрации</w:t>
      </w:r>
      <w:r>
        <w:rPr>
          <w:rFonts w:ascii="Arial" w:cs="Arial" w:eastAsia="Times New Roman" w:hAnsi="Arial"/>
          <w:color w:val="000000"/>
          <w:sz w:val="24"/>
          <w:szCs w:val="24"/>
          <w:lang w:eastAsia="ru-RU"/>
        </w:rPr>
        <w:t>, ответственные за осуществление закупок</w:t>
      </w:r>
      <w:r>
        <w:rPr>
          <w:rFonts w:ascii="Arial" w:cs="Arial" w:eastAsia="Times New Roman" w:hAnsi="Arial"/>
          <w:color w:val="000000"/>
          <w:sz w:val="24"/>
          <w:szCs w:val="24"/>
          <w:lang w:eastAsia="ru-RU"/>
        </w:rPr>
        <w:t>;</w:t>
      </w:r>
    </w:p>
    <w:p w14:paraId="00000044">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члены коллегиального органа по осуществлению закупок (члены приемочной комиссии, члены комиссии по осуществлению закупок (далее также - комиссия));</w:t>
      </w:r>
    </w:p>
    <w:p w14:paraId="00000045">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 должностные лица, осуществляющие исполнение контрактов;</w:t>
      </w:r>
    </w:p>
    <w:p w14:paraId="00000046">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иные лица, участвующие в осуществлении закупок.</w:t>
      </w:r>
    </w:p>
    <w:p w14:paraId="00000047">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5.</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Принципы раскрытия и урегулирования конфликта интересов при осуществлении закупок</w:t>
      </w:r>
    </w:p>
    <w:p w14:paraId="00000048">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5.1.</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В основу работы по раскрытию и урегулированию конфликта интересов при осуществлении закупок положены следующие принципы:</w:t>
      </w:r>
    </w:p>
    <w:p w14:paraId="00000049">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раскрытие сведений о реальном или потенциальном конфликте интересов, личной заинтересованности;</w:t>
      </w:r>
    </w:p>
    <w:p w14:paraId="0000004A">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 xml:space="preserve">индивидуальное рассмотрение и оценка </w:t>
      </w:r>
      <w:r>
        <w:rPr>
          <w:rFonts w:ascii="Arial" w:cs="Arial" w:eastAsia="Times New Roman" w:hAnsi="Arial"/>
          <w:color w:val="000000"/>
          <w:sz w:val="24"/>
          <w:szCs w:val="24"/>
          <w:lang w:eastAsia="ru-RU"/>
        </w:rPr>
        <w:t>репутационных</w:t>
      </w:r>
      <w:r>
        <w:rPr>
          <w:rFonts w:ascii="Arial" w:cs="Arial" w:eastAsia="Times New Roman" w:hAnsi="Arial"/>
          <w:color w:val="000000"/>
          <w:sz w:val="24"/>
          <w:szCs w:val="24"/>
          <w:lang w:eastAsia="ru-RU"/>
        </w:rPr>
        <w:t xml:space="preserve"> рисков для учреждения при выявлении личной заинтересованности работников;</w:t>
      </w:r>
    </w:p>
    <w:p w14:paraId="0000004B">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конфиденциальность процесса раскрытия сведений о личной заинтересованности и об урегулировании конфликта интересов;</w:t>
      </w:r>
    </w:p>
    <w:p w14:paraId="0000004C">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соблюдение баланса интересов Администрации и работников;</w:t>
      </w:r>
    </w:p>
    <w:p w14:paraId="0000004D">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защита работников Администрации от преследования в связи с сообщением о личной заинтересованности, которая была своевременно раскрыта работником.</w:t>
      </w:r>
    </w:p>
    <w:p w14:paraId="0000004E">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6.</w:t>
      </w:r>
      <w:r>
        <w:rPr>
          <w:rFonts w:ascii="Times New Roman" w:cs="Times New Roman" w:eastAsia="Times New Roman" w:hAnsi="Times New Roman"/>
          <w:color w:val="000000"/>
          <w:sz w:val="14"/>
          <w:szCs w:val="14"/>
          <w:lang w:eastAsia="ru-RU"/>
        </w:rPr>
        <w:t>                 </w:t>
      </w:r>
      <w:bookmarkStart w:id="4" w:name="bookmark3"/>
      <w:r>
        <w:rPr>
          <w:rFonts w:ascii="Arial" w:cs="Arial" w:eastAsia="Times New Roman" w:hAnsi="Arial"/>
          <w:color w:val="000000"/>
          <w:sz w:val="24"/>
          <w:szCs w:val="24"/>
          <w:lang w:eastAsia="ru-RU"/>
        </w:rPr>
        <w:t>Комплекс профилактических и аналитических мероприятий по предотвращению и урегулированию интересов при осуществлении закупок</w:t>
      </w:r>
      <w:bookmarkEnd w:id="4"/>
    </w:p>
    <w:p w14:paraId="0000004F">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6.1.</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Деятельность по профилактике коррупционных правонарушений может быть разделена на общие профилактические мероприятия и аналитические мероприятия.</w:t>
      </w:r>
    </w:p>
    <w:p w14:paraId="00000050">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6.2.</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В целях осуществления качественной работы, направленной на выявление личной заинтересованности должностных лиц при осуществлении закупок, которая приводит или может привести к конфликту интересов, из числа должностных лиц определяется ответственное лицо, на которого возлагаются преимущественно функции, связанные с предупреждением коррупции при осуществлении закупок.</w:t>
      </w:r>
    </w:p>
    <w:p w14:paraId="00000051">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6.3.</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Глава вправе провести повышение квалификации ответственного лица по дополнительной профессиональной программе по вопросам, связанным с осуществлением закупок.</w:t>
      </w:r>
    </w:p>
    <w:p w14:paraId="00000052">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6.4.</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Ответственное лицо, на которого возлагаются преимущественно функции, связанные с предупреждением коррупции при осуществлении закупок для профилактики коррупционных правонарушений не реже одного раза в год проводит консультативно-методические совещания, направленные на информирование должностных лиц, участвующих в осуществлении закупок, о следующем:</w:t>
      </w:r>
    </w:p>
    <w:p w14:paraId="00000053">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понятия «конфликт интересов»</w:t>
      </w:r>
      <w:r>
        <w:rPr>
          <w:rFonts w:ascii="Arial" w:cs="Arial" w:eastAsia="Times New Roman" w:hAnsi="Arial"/>
          <w:color w:val="000000"/>
          <w:sz w:val="24"/>
          <w:szCs w:val="24"/>
          <w:lang w:eastAsia="ru-RU"/>
        </w:rPr>
        <w:t xml:space="preserve"> и </w:t>
      </w:r>
      <w:r>
        <w:rPr>
          <w:rFonts w:ascii="Arial" w:cs="Arial" w:eastAsia="Times New Roman" w:hAnsi="Arial"/>
          <w:color w:val="000000"/>
          <w:sz w:val="24"/>
          <w:szCs w:val="24"/>
          <w:lang w:eastAsia="ru-RU"/>
        </w:rPr>
        <w:t>«личная заинтересованность»</w:t>
      </w:r>
      <w:r>
        <w:rPr>
          <w:rFonts w:ascii="Arial" w:cs="Arial" w:eastAsia="Times New Roman" w:hAnsi="Arial"/>
          <w:color w:val="000000"/>
          <w:sz w:val="24"/>
          <w:szCs w:val="24"/>
          <w:lang w:eastAsia="ru-RU"/>
        </w:rPr>
        <w:t>;</w:t>
      </w:r>
    </w:p>
    <w:p w14:paraId="00000054">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обязанности по принятию мер по предотвращению и урегулированию конфликта интересов;</w:t>
      </w:r>
    </w:p>
    <w:p w14:paraId="00000055">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привлечение к ответственности должностных лиц за непринятие мер по предотвращению и (или) урегулированию конфликта интересов;</w:t>
      </w:r>
    </w:p>
    <w:p w14:paraId="00000056">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порядок 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w:t>
      </w:r>
    </w:p>
    <w:p w14:paraId="00000057">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ответственность за неисполнение указанной обязанности;</w:t>
      </w:r>
    </w:p>
    <w:p w14:paraId="00000058">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иная признанная целесообразной к сообщению информация.</w:t>
      </w:r>
    </w:p>
    <w:p w14:paraId="00000059">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Аналогичная работа проводится с лицами, которым впервые поручено осуществлять деятельность, связанную с закупками.</w:t>
      </w:r>
    </w:p>
    <w:p w14:paraId="0000005A">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6.5.</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К типовым ситуациям, применимым непосредственно для целей закупок, могут относиться следующие:</w:t>
      </w:r>
    </w:p>
    <w:p w14:paraId="0000005B">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в конкурентных процедурах по определению поставщика (подрядчика, исполнителя) участвует организация, в которой работает близкий родственник должностного лица, заинтересованного в осуществлении закупки;</w:t>
      </w:r>
    </w:p>
    <w:p w14:paraId="0000005C">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в конкурентных процедурах участвует организация, в которой у должностного лица, заинтересованного в осуществлении закупки, имеется доля участия в уставном капитале (такие лица являются учредителями (соучредителями));</w:t>
      </w:r>
    </w:p>
    <w:p w14:paraId="0000005D">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в конкурентных процедурах участвует организация, в которой ранее работало должностное лицо, заинтересованное в осуществлении закупки;</w:t>
      </w:r>
    </w:p>
    <w:p w14:paraId="0000005E">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в закупке товаров, являющихся результатами интеллектуальной деятельности, участвует должностное лицо, чьи родственники или иные лица, с которыми у него имеются корпоративные, имущественные или иные близкие отношения, владеют исключительными правами;</w:t>
      </w:r>
    </w:p>
    <w:p w14:paraId="0000005F">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в конкурентных процедурах участвует организация, ценные бумаги которой имеются в собственности у должностного лица, заинтересованного в осуществлении закупки, в том числе иных лиц, с которыми у него имеются корпоративные, имущественные или иные близкие отношения.</w:t>
      </w:r>
    </w:p>
    <w:p w14:paraId="00000060">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Порядок раскрытия конфликта интересов при осуществлении закупок</w:t>
      </w:r>
    </w:p>
    <w:p w14:paraId="00000061">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7.1.</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В целях организации аналитической работы должны быть определены критерии выбора закупок, в отношении которых должностное лицо по профилактике коррупционных правонарушений уделяет повышенное внимание.</w:t>
      </w:r>
    </w:p>
    <w:p w14:paraId="00000062">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7.2.</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Указанные критерии основываются на следующих аспектах:</w:t>
      </w:r>
    </w:p>
    <w:p w14:paraId="00000063">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размер начальной (максимальной) цены контракта, предметом которого являются поставка товара, выполнение работы, оказание услуги, цена контракта, заключаемого с единственным поставщиком (подрядчиком, исполнителем), начальная сумма цен единиц товара, работы, услуги;</w:t>
      </w:r>
    </w:p>
    <w:p w14:paraId="00000064">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коррупционная емкость предмета (сферы) закупки (строительство, ремонт, оборудование и т. д.);</w:t>
      </w:r>
    </w:p>
    <w:p w14:paraId="00000065">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частота заключаемых контрактов с одним и тем же поставщиком (подрядчиком, исполнителем), в части возможного установления неформальных связей между конечным выгодоприобретателем - работником и представителем поставщика (подрядчика, исполнителя);</w:t>
      </w:r>
    </w:p>
    <w:p w14:paraId="00000066">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другие применимые аспекты.</w:t>
      </w:r>
    </w:p>
    <w:p w14:paraId="00000067">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7.3.</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Анализ соблюдения положений законодательства Российской Федерации о противодействии коррупции основывается на следующем:</w:t>
      </w:r>
    </w:p>
    <w:p w14:paraId="00000068">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абсолютный анализ всех должностных лиц, участвующих в закупочной деятельности, всех участников закупки, а также всех поставщиков (подрядчиков, исполнителей), определенных по результатам закупок;</w:t>
      </w:r>
    </w:p>
    <w:p w14:paraId="00000069">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выборочный анализ должностных лиц, участвующих в закупочной деятельности, а также участников закупки с учетом положений пунктов 7.1-7.2 настоящего Положения;</w:t>
      </w:r>
    </w:p>
    <w:p w14:paraId="0000006A">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выборочный анализ должностных лиц, участвующих в закупочной деятельности, а также поставщиков (подрядчиков, исполнителей), определенных по результатам закупок, с учетом положений пунктов 7.1-7.2 настоящего Положения;</w:t>
      </w:r>
    </w:p>
    <w:p w14:paraId="0000006B">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выборочный анализ должностных лиц, участвующих в закупочной деятельности, а также участников закупки в связи с поступившей в учреждение информации от физических или юридических лиц, в том числе иных органов;</w:t>
      </w:r>
    </w:p>
    <w:p w14:paraId="0000006C">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иные основания для проведения анализа.</w:t>
      </w:r>
    </w:p>
    <w:p w14:paraId="0000006D">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7.4.</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В целях выявления личной заинтересованности должностное лицо по профилактике коррупционных правонарушений уделяет особое внимание анализу поступающих в учреждение и содержащих замечания писем уполномоченных органов (ФАС России, Счетной палаты Российской Федерации, Федерального казначейства).</w:t>
      </w:r>
    </w:p>
    <w:p w14:paraId="0000006E">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7.5.</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 xml:space="preserve">Анализу подлежит информация, поступившая в связи с проведенным общественным контролем гражданами и </w:t>
      </w:r>
      <w:r>
        <w:rPr>
          <w:rFonts w:ascii="Arial" w:cs="Arial" w:eastAsia="Times New Roman" w:hAnsi="Arial"/>
          <w:color w:val="000000"/>
          <w:sz w:val="24"/>
          <w:szCs w:val="24"/>
          <w:lang w:eastAsia="ru-RU"/>
        </w:rPr>
        <w:t>общественными объединениями</w:t>
      </w:r>
      <w:r>
        <w:rPr>
          <w:rFonts w:ascii="Arial" w:cs="Arial" w:eastAsia="Times New Roman" w:hAnsi="Arial"/>
          <w:color w:val="000000"/>
          <w:sz w:val="24"/>
          <w:szCs w:val="24"/>
          <w:lang w:eastAsia="ru-RU"/>
        </w:rPr>
        <w:t xml:space="preserve"> и объединениями юридических лиц, а также информация, поступившая от указанных и иных субъектов.</w:t>
      </w:r>
    </w:p>
    <w:p w14:paraId="0000006F">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7.6.</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 xml:space="preserve">Одновременно должностное лицо по профилактике коррупционных правонарушений организует личный прием лиц, обладающих информацией о фактах совершения должностными лицами коррупционных правонарушений, и (или), помимо телефона </w:t>
      </w:r>
      <w:r>
        <w:rPr>
          <w:rFonts w:ascii="Arial" w:cs="Arial" w:eastAsia="Times New Roman" w:hAnsi="Arial"/>
          <w:color w:val="000000"/>
          <w:sz w:val="24"/>
          <w:szCs w:val="24"/>
          <w:lang w:eastAsia="ru-RU"/>
        </w:rPr>
        <w:t>«горячей линии»</w:t>
      </w:r>
      <w:r>
        <w:rPr>
          <w:rFonts w:ascii="Arial" w:cs="Arial" w:eastAsia="Times New Roman" w:hAnsi="Arial"/>
          <w:color w:val="000000"/>
          <w:sz w:val="24"/>
          <w:szCs w:val="24"/>
          <w:lang w:eastAsia="ru-RU"/>
        </w:rPr>
        <w:t>, создает адрес электронной почты, на который гражданин сможет направить рассматриваемую информацию.</w:t>
      </w:r>
    </w:p>
    <w:p w14:paraId="00000070">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7.7.</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Указанный анализ направлен на выявление фактов, которые могут свидетельствовать о личной заинтересованности должностных лиц, участвовавших в проведении такой закупки.</w:t>
      </w:r>
    </w:p>
    <w:p w14:paraId="00000071">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7.8.</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По результатам определения круга должностных лиц и участников закупки (поставщ</w:t>
      </w:r>
      <w:r>
        <w:rPr>
          <w:rFonts w:ascii="Arial" w:cs="Arial" w:eastAsia="Times New Roman" w:hAnsi="Arial"/>
          <w:color w:val="000000"/>
          <w:sz w:val="24"/>
          <w:szCs w:val="24"/>
          <w:lang w:eastAsia="ru-RU"/>
        </w:rPr>
        <w:t>иков (подрядчиков, исполнителей</w:t>
      </w:r>
      <w:r>
        <w:rPr>
          <w:rFonts w:ascii="Arial" w:cs="Arial" w:eastAsia="Times New Roman" w:hAnsi="Arial"/>
          <w:color w:val="000000"/>
          <w:sz w:val="24"/>
          <w:szCs w:val="24"/>
          <w:lang w:eastAsia="ru-RU"/>
        </w:rPr>
        <w:t>), в отношении которых проводится анализ, должностное лицо по профилактике коррупционных правонарушений осуществляет сбор применимой информации, которая может содержать признаки наличия у должностного лица личной заинтересованности при осуществлении закупок.</w:t>
      </w:r>
    </w:p>
    <w:p w14:paraId="00000072">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7.9.</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В целях выявления личной заинтересованности должностного лица, которая приводит или может привести к конфликту интересов, с соблюдением законодательства о персональных данных, ответственное лицо по профилактике коррупционных правонарушений обобщает имеющуюся информацию о сотруднике, его близких родственниках, например, информацию, содержащуюся в следующих документах и сведениях:</w:t>
      </w:r>
    </w:p>
    <w:p w14:paraId="00000073">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трудовая книжка;</w:t>
      </w:r>
    </w:p>
    <w:p w14:paraId="00000074">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анкета или резюме, предоставленные лицом при приеме на работу в учреждение;</w:t>
      </w:r>
    </w:p>
    <w:p w14:paraId="00000075">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личная карточка работника;</w:t>
      </w:r>
    </w:p>
    <w:p w14:paraId="00000076">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иная информация, в том числе имеющаяся в личном деле лица.</w:t>
      </w:r>
    </w:p>
    <w:p w14:paraId="00000077">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7.10.</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Одновременно должностное лицо по профилактике коррупционных правонарушений анализирует информацию, размещенную в информаци</w:t>
      </w:r>
      <w:r>
        <w:rPr>
          <w:rFonts w:ascii="Arial" w:cs="Arial" w:eastAsia="Times New Roman" w:hAnsi="Arial"/>
          <w:color w:val="000000"/>
          <w:sz w:val="24"/>
          <w:szCs w:val="24"/>
          <w:lang w:eastAsia="ru-RU"/>
        </w:rPr>
        <w:t>онно-телекоммуникационной сети «Интернет»</w:t>
      </w:r>
      <w:r>
        <w:rPr>
          <w:rFonts w:ascii="Arial" w:cs="Arial" w:eastAsia="Times New Roman" w:hAnsi="Arial"/>
          <w:color w:val="000000"/>
          <w:sz w:val="24"/>
          <w:szCs w:val="24"/>
          <w:lang w:eastAsia="ru-RU"/>
        </w:rPr>
        <w:t xml:space="preserve">, в том числе посредством использования различных </w:t>
      </w:r>
      <w:r>
        <w:rPr>
          <w:rFonts w:ascii="Arial" w:cs="Arial" w:eastAsia="Times New Roman" w:hAnsi="Arial"/>
          <w:color w:val="000000"/>
          <w:sz w:val="24"/>
          <w:szCs w:val="24"/>
          <w:lang w:eastAsia="ru-RU"/>
        </w:rPr>
        <w:t>агрегаторов</w:t>
      </w:r>
      <w:r>
        <w:rPr>
          <w:rFonts w:ascii="Arial" w:cs="Arial" w:eastAsia="Times New Roman" w:hAnsi="Arial"/>
          <w:color w:val="000000"/>
          <w:sz w:val="24"/>
          <w:szCs w:val="24"/>
          <w:lang w:eastAsia="ru-RU"/>
        </w:rPr>
        <w:t xml:space="preserve"> информации. Например, информацию, содержащуюся в следующих документах:</w:t>
      </w:r>
    </w:p>
    <w:p w14:paraId="00000078">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поступившие в учреждение сообщения от предыдущих работодателей сотрудников;</w:t>
      </w:r>
    </w:p>
    <w:p w14:paraId="00000079">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реестр ранее заключенных контрактов;</w:t>
      </w:r>
    </w:p>
    <w:p w14:paraId="0000007A">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реестр контрагентов.</w:t>
      </w:r>
    </w:p>
    <w:p w14:paraId="0000007B">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7.11.</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Также должностное лицо по профилактике коррупционных правонарушений проводит беседы с должностными лицами с их согласия, получает от них с их согласия необходимые пояснения.</w:t>
      </w:r>
    </w:p>
    <w:p w14:paraId="0000007C">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7.12.</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 xml:space="preserve">В учреждении организуется добровольное ежегодное представление должностными лицами, участвующими в осуществлении закупок, декларации о возможной личной заинтересованности. </w:t>
      </w:r>
      <w:r>
        <w:rPr>
          <w:rFonts w:ascii="Arial" w:cs="Arial" w:eastAsia="Times New Roman" w:hAnsi="Arial"/>
          <w:color w:val="000000"/>
          <w:sz w:val="24"/>
          <w:szCs w:val="24"/>
          <w:lang w:eastAsia="ru-RU"/>
        </w:rPr>
        <w:t>Ф</w:t>
      </w:r>
      <w:r>
        <w:rPr>
          <w:rFonts w:ascii="Arial" w:cs="Arial" w:eastAsia="Times New Roman" w:hAnsi="Arial"/>
          <w:color w:val="000000"/>
          <w:sz w:val="24"/>
          <w:szCs w:val="24"/>
          <w:lang w:eastAsia="ru-RU"/>
        </w:rPr>
        <w:t>орма</w:t>
      </w:r>
      <w:r>
        <w:rPr>
          <w:rFonts w:ascii="Arial" w:cs="Arial" w:eastAsia="Times New Roman" w:hAnsi="Arial"/>
          <w:color w:val="000000"/>
          <w:sz w:val="24"/>
          <w:szCs w:val="24"/>
          <w:lang w:eastAsia="ru-RU"/>
        </w:rPr>
        <w:t xml:space="preserve"> декларации </w:t>
      </w:r>
      <w:r>
        <w:rPr>
          <w:rFonts w:ascii="Arial" w:cs="Arial" w:eastAsia="Times New Roman" w:hAnsi="Arial"/>
          <w:color w:val="000000"/>
          <w:sz w:val="24"/>
          <w:szCs w:val="24"/>
          <w:lang w:eastAsia="ru-RU"/>
        </w:rPr>
        <w:t>о возможной личной заинтересованности</w:t>
      </w:r>
      <w:r>
        <w:rPr>
          <w:rFonts w:ascii="Arial" w:cs="Arial" w:eastAsia="Times New Roman" w:hAnsi="Arial"/>
          <w:color w:val="000000"/>
          <w:sz w:val="24"/>
          <w:szCs w:val="24"/>
          <w:lang w:eastAsia="ru-RU"/>
        </w:rPr>
        <w:t xml:space="preserve"> </w:t>
      </w:r>
      <w:r>
        <w:rPr>
          <w:rFonts w:ascii="Arial" w:cs="Arial" w:eastAsia="Times New Roman" w:hAnsi="Arial"/>
          <w:color w:val="000000"/>
          <w:sz w:val="24"/>
          <w:szCs w:val="24"/>
          <w:lang w:eastAsia="ru-RU"/>
        </w:rPr>
        <w:t xml:space="preserve">утверждается распоряжением Главы Администрации. </w:t>
      </w:r>
    </w:p>
    <w:p w14:paraId="0000007D">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7.13.</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На основании указанных действий должностное лицо по профилактике коррупционных правонарушений формирует профиль должностного лица, участвующего в закупочной деятельности.</w:t>
      </w:r>
    </w:p>
    <w:p w14:paraId="0000007E">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7.14.</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Аналогичный профиль формируется в отношении участников закупок, в том числе определенных по результатам закупок поставщиков (подрядчиков, исполнителей).</w:t>
      </w:r>
    </w:p>
    <w:p w14:paraId="0000007F">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7.15.</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В этой связи с учетом положений законодательства Российской Федерации должностное лицо по профилактике коррупционных правонарушений обеспечивается доступом к необходимой для составления такого профиля информации по решению руководителя учреждения.</w:t>
      </w:r>
    </w:p>
    <w:p w14:paraId="00000080">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7.16.</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Информацию об участниках закупки, в том числе о поставщиках (подрядчиках, исполнителях), можно получить как непосредственно от подразделений учреждения, участвующих в определении поставщика (подрядчика, исполнителя), так и из данных, размещенных в Единой информационной системе в сфере закупок по адресу в информационно</w:t>
      </w:r>
      <w:r>
        <w:rPr>
          <w:rFonts w:ascii="Arial" w:cs="Arial" w:eastAsia="Times New Roman" w:hAnsi="Arial"/>
          <w:color w:val="000000"/>
          <w:sz w:val="24"/>
          <w:szCs w:val="24"/>
          <w:lang w:eastAsia="ru-RU"/>
        </w:rPr>
        <w:softHyphen/>
      </w:r>
      <w:r>
        <w:rPr>
          <w:rFonts w:ascii="Arial" w:cs="Arial" w:eastAsia="Times New Roman" w:hAnsi="Arial"/>
          <w:color w:val="000000"/>
          <w:sz w:val="24"/>
          <w:szCs w:val="24"/>
          <w:lang w:eastAsia="ru-RU"/>
        </w:rPr>
        <w:t>-</w:t>
      </w:r>
      <w:r>
        <w:rPr>
          <w:rFonts w:ascii="Arial" w:cs="Arial" w:eastAsia="Times New Roman" w:hAnsi="Arial"/>
          <w:color w:val="000000"/>
          <w:sz w:val="24"/>
          <w:szCs w:val="24"/>
          <w:lang w:eastAsia="ru-RU"/>
        </w:rPr>
        <w:t>теле</w:t>
      </w:r>
      <w:r>
        <w:rPr>
          <w:rFonts w:ascii="Arial" w:cs="Arial" w:eastAsia="Times New Roman" w:hAnsi="Arial"/>
          <w:color w:val="000000"/>
          <w:sz w:val="24"/>
          <w:szCs w:val="24"/>
          <w:lang w:eastAsia="ru-RU"/>
        </w:rPr>
        <w:t>коммуникационной сети «Интернет»</w:t>
      </w:r>
      <w:r>
        <w:rPr>
          <w:rFonts w:ascii="Arial" w:cs="Arial" w:eastAsia="Times New Roman" w:hAnsi="Arial"/>
          <w:color w:val="000000"/>
          <w:sz w:val="24"/>
          <w:szCs w:val="24"/>
          <w:lang w:eastAsia="ru-RU"/>
        </w:rPr>
        <w:t>: </w:t>
      </w:r>
      <w:r>
        <w:fldChar w:fldCharType="begin"/>
      </w:r>
      <w:r>
        <w:instrText xml:space="preserve">HYPERLINK "http://zakupki.gov.ru/" </w:instrText>
      </w:r>
      <w:r>
        <w:fldChar w:fldCharType="separate"/>
      </w:r>
      <w:r>
        <w:rPr>
          <w:rFonts w:ascii="Arial" w:cs="Arial" w:eastAsia="Times New Roman" w:hAnsi="Arial"/>
          <w:color w:val="0000ff"/>
          <w:sz w:val="24"/>
          <w:szCs w:val="24"/>
          <w:lang w:eastAsia="ru-RU"/>
        </w:rPr>
        <w:t>http://zakupki.gov.ru/</w:t>
      </w:r>
      <w:r>
        <w:fldChar w:fldCharType="end"/>
      </w:r>
      <w:r>
        <w:rPr>
          <w:rFonts w:ascii="Arial" w:cs="Arial" w:eastAsia="Times New Roman" w:hAnsi="Arial"/>
          <w:color w:val="000000"/>
          <w:sz w:val="24"/>
          <w:szCs w:val="24"/>
          <w:lang w:eastAsia="ru-RU"/>
        </w:rPr>
        <w:t>.</w:t>
      </w:r>
    </w:p>
    <w:p w14:paraId="00000081">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7.17.</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Анализу и обобщению для формирования профиля подлежит следующая информация (если применимо):</w:t>
      </w:r>
    </w:p>
    <w:p w14:paraId="00000082">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наименование, фирменное наименование (при наличии), место нахождения (для юридического лица), почтовый адрес участника закупки,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фамилия, имя, отчество (при наличии), паспортные данные, место жительства (для физического лица), номер контактного телефона;</w:t>
      </w:r>
    </w:p>
    <w:p w14:paraId="00000083">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14:paraId="00000084">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документ, подтверждающий полномочия лица на осуществление действий от имени участника закупки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закупки без доверенности), и иные связанные с данной обязанностью документы;</w:t>
      </w:r>
    </w:p>
    <w:p w14:paraId="00000085">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копии учредительных документов участника закупки (для юридического лица);</w:t>
      </w:r>
    </w:p>
    <w:p w14:paraId="00000086">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иные представленные участником закупки документы.</w:t>
      </w:r>
    </w:p>
    <w:p w14:paraId="00000087">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7.18.</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В случае выявления должностным лицом по профилактике коррупционных правонарушений, нарушения участником закупки требования об отсутствии между ним и заказчиком конфликта интересов, то об указанном факте должностное лицо по профилактике коррупционных правонарушений незамедлительно информирует руководителя заказчика и (или) комиссию.</w:t>
      </w:r>
    </w:p>
    <w:p w14:paraId="00000088">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7.19.</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Аналогично должностное лицо по профилактике коррупционных правонарушений проводит анализ информации о единственном поставщике (подрядчике, исполнителе).</w:t>
      </w:r>
    </w:p>
    <w:p w14:paraId="00000089">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7.20.</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Иная информация об участниках закупки, применимая для целей выявления личной заинтересованности должностных лиц, может быть также получена должностным лицом по профилактике коррупционных правонарушений ’ из информаци</w:t>
      </w:r>
      <w:r>
        <w:rPr>
          <w:rFonts w:ascii="Arial" w:cs="Arial" w:eastAsia="Times New Roman" w:hAnsi="Arial"/>
          <w:color w:val="000000"/>
          <w:sz w:val="24"/>
          <w:szCs w:val="24"/>
          <w:lang w:eastAsia="ru-RU"/>
        </w:rPr>
        <w:t>онно-телекоммуникационной сети «</w:t>
      </w:r>
      <w:r>
        <w:rPr>
          <w:rFonts w:ascii="Arial" w:cs="Arial" w:eastAsia="Times New Roman" w:hAnsi="Arial"/>
          <w:color w:val="000000"/>
          <w:sz w:val="24"/>
          <w:szCs w:val="24"/>
          <w:lang w:eastAsia="ru-RU"/>
        </w:rPr>
        <w:t>Интернет</w:t>
      </w:r>
      <w:r>
        <w:rPr>
          <w:rFonts w:ascii="Arial" w:cs="Arial" w:eastAsia="Times New Roman" w:hAnsi="Arial"/>
          <w:color w:val="000000"/>
          <w:sz w:val="24"/>
          <w:szCs w:val="24"/>
          <w:lang w:eastAsia="ru-RU"/>
        </w:rPr>
        <w:t>»</w:t>
      </w:r>
      <w:r>
        <w:rPr>
          <w:rFonts w:ascii="Arial" w:cs="Arial" w:eastAsia="Times New Roman" w:hAnsi="Arial"/>
          <w:color w:val="000000"/>
          <w:sz w:val="24"/>
          <w:szCs w:val="24"/>
          <w:lang w:eastAsia="ru-RU"/>
        </w:rPr>
        <w:t>, например, посредством анализа сведений, до</w:t>
      </w:r>
      <w:r>
        <w:rPr>
          <w:rFonts w:ascii="Arial" w:cs="Arial" w:eastAsia="Times New Roman" w:hAnsi="Arial"/>
          <w:color w:val="000000"/>
          <w:sz w:val="24"/>
          <w:szCs w:val="24"/>
          <w:lang w:eastAsia="ru-RU"/>
        </w:rPr>
        <w:t>ступных на электронном сервисе «Прозрачный бизнес»</w:t>
      </w:r>
      <w:r>
        <w:rPr>
          <w:rFonts w:ascii="Arial" w:cs="Arial" w:eastAsia="Times New Roman" w:hAnsi="Arial"/>
          <w:color w:val="000000"/>
          <w:sz w:val="24"/>
          <w:szCs w:val="24"/>
          <w:lang w:eastAsia="ru-RU"/>
        </w:rPr>
        <w:t>, размещенном по адресу: </w:t>
      </w:r>
      <w:r>
        <w:fldChar w:fldCharType="begin"/>
      </w:r>
      <w:r>
        <w:instrText xml:space="preserve">HYPERLINK "https://pb.nalog.ru/" </w:instrText>
      </w:r>
      <w:r>
        <w:fldChar w:fldCharType="separate"/>
      </w:r>
      <w:r>
        <w:rPr>
          <w:rFonts w:ascii="Arial" w:cs="Arial" w:eastAsia="Times New Roman" w:hAnsi="Arial"/>
          <w:color w:val="0000ff"/>
          <w:sz w:val="24"/>
          <w:szCs w:val="24"/>
          <w:lang w:eastAsia="ru-RU"/>
        </w:rPr>
        <w:t>https://pb.nalog.ru/</w:t>
      </w:r>
      <w:r>
        <w:fldChar w:fldCharType="end"/>
      </w:r>
      <w:r>
        <w:rPr>
          <w:rFonts w:ascii="Arial" w:cs="Arial" w:eastAsia="Times New Roman" w:hAnsi="Arial"/>
          <w:color w:val="000000"/>
          <w:sz w:val="24"/>
          <w:szCs w:val="24"/>
          <w:lang w:eastAsia="ru-RU"/>
        </w:rPr>
        <w:t xml:space="preserve">, а также посредством использования различных </w:t>
      </w:r>
      <w:r>
        <w:rPr>
          <w:rFonts w:ascii="Arial" w:cs="Arial" w:eastAsia="Times New Roman" w:hAnsi="Arial"/>
          <w:color w:val="000000"/>
          <w:sz w:val="24"/>
          <w:szCs w:val="24"/>
          <w:lang w:eastAsia="ru-RU"/>
        </w:rPr>
        <w:t>агрегаторов</w:t>
      </w:r>
      <w:r>
        <w:rPr>
          <w:rFonts w:ascii="Arial" w:cs="Arial" w:eastAsia="Times New Roman" w:hAnsi="Arial"/>
          <w:color w:val="000000"/>
          <w:sz w:val="24"/>
          <w:szCs w:val="24"/>
          <w:lang w:eastAsia="ru-RU"/>
        </w:rPr>
        <w:t xml:space="preserve"> информации.</w:t>
      </w:r>
    </w:p>
    <w:p w14:paraId="0000008A">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7.21.</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По результатам составления профилей сотрудников, участвующих в осуществлении закупки, а также профилей участников закупок должностное лицо по профилактике коррупционных правонарушений осуществляет перекрестный анализ имеющейся в его распоряжении информации для целей выявления личной заинтересованности должностных лиц.</w:t>
      </w:r>
    </w:p>
    <w:p w14:paraId="0000008B">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7.22.</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Для выявления фактов, свидетельствующих о возможном наличии личной заинтересованности у должностного лица, участвующего в осуществлении закупки, должностное лицо по профилактике коррупционных правонарушений анализирует документацию, связанную с осуществлением закупки, в том числе документацию, связанную с планированием закупки.</w:t>
      </w:r>
    </w:p>
    <w:p w14:paraId="0000008C">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7.23.</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Достаточная информация для организации проведения проверки может быть получена не только в рамках осуществления вышеуказанного анализа, но и в рамках анализа информации, содержащейся в документации, связанной с осуществлением закупки.</w:t>
      </w:r>
    </w:p>
    <w:p w14:paraId="0000008D">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7.24.</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Отдельное внимание должностное лицо по профилактике коррупционных правонарушений уделяет анализу имеющейся информации о субподрядчиках (соисполнителях) по контракту.</w:t>
      </w:r>
    </w:p>
    <w:p w14:paraId="0000008E">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7.25.</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Для указанной цели также формируются профили субподрядчиков (соисполнителей) по контракту с учетом положений настоящего Положения.</w:t>
      </w:r>
    </w:p>
    <w:p w14:paraId="0000008F">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7.26.</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Предметом перекрестного анализа профилей должностных лиц и профилей субподрядчиков (соисполнителей) является поиск возможных связей, свидетельствующих о наличии у должностных лиц личной заинтересованности, в частности, в участии соответствующих лиц в качестве субподрядчиков (соисполнителей).</w:t>
      </w:r>
    </w:p>
    <w:p w14:paraId="00000090">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7.27.</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Помимо указанного анализа должностное лицом по профилактике коррупционных правонарушений также может быть проведена проверка для целей установления фактов "навязывания услуг" (например, понуждение со стороны должностного лица заключить договор с аффилированной с таким должностным лицом организацией).</w:t>
      </w:r>
    </w:p>
    <w:p w14:paraId="00000091">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8.</w:t>
      </w:r>
      <w:r>
        <w:rPr>
          <w:rFonts w:ascii="Times New Roman" w:cs="Times New Roman" w:eastAsia="Times New Roman" w:hAnsi="Times New Roman"/>
          <w:color w:val="000000"/>
          <w:sz w:val="14"/>
          <w:szCs w:val="14"/>
          <w:lang w:eastAsia="ru-RU"/>
        </w:rPr>
        <w:t>                 </w:t>
      </w:r>
      <w:bookmarkStart w:id="5" w:name="bookmark4"/>
      <w:r>
        <w:rPr>
          <w:rFonts w:ascii="Arial" w:cs="Arial" w:eastAsia="Times New Roman" w:hAnsi="Arial"/>
          <w:color w:val="000000"/>
          <w:sz w:val="24"/>
          <w:szCs w:val="24"/>
          <w:lang w:eastAsia="ru-RU"/>
        </w:rPr>
        <w:t>Порядок рассмотрения деклараций, порядок урегулирования конфликта интересов, возможные способы разрешения возникшего конфликта интересов при осуществлении</w:t>
      </w:r>
      <w:bookmarkEnd w:id="5"/>
      <w:r>
        <w:rPr>
          <w:rFonts w:ascii="Arial" w:cs="Arial" w:eastAsia="Times New Roman" w:hAnsi="Arial"/>
          <w:color w:val="000000"/>
          <w:sz w:val="24"/>
          <w:szCs w:val="24"/>
          <w:lang w:eastAsia="ru-RU"/>
        </w:rPr>
        <w:t> закупок</w:t>
      </w:r>
    </w:p>
    <w:p w14:paraId="00000092">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8.1.</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 xml:space="preserve">Глава </w:t>
      </w:r>
      <w:r>
        <w:rPr>
          <w:rFonts w:ascii="Arial" w:cs="Arial" w:eastAsia="Times New Roman" w:hAnsi="Arial"/>
          <w:color w:val="000000"/>
          <w:sz w:val="24"/>
          <w:szCs w:val="24"/>
          <w:lang w:eastAsia="ru-RU"/>
        </w:rPr>
        <w:t>рассматривает декларацию о возможной личной заинтересованности, материалы по результатам проверки и предложения подразделения по профилактике коррупционных правонарушений о наиболее подходящих формах урегулирования конфликта интересов, а в случае необходимости определяет дополнительные формы урегулирования конфликта интересов и направляет указанную декларацию и материалы по результатам ее рассмотрения в комиссию по противодействию коррупции.</w:t>
      </w:r>
    </w:p>
    <w:p w14:paraId="00000093">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8.2.</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Рассмотрение декларации о возможной личной заинтересованности осуществляет комиссия по противодействию коррупции Администрации коллегиально.</w:t>
      </w:r>
    </w:p>
    <w:p w14:paraId="00000094">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8.3.</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При рассмотрении декларации о возможной личной заинтересованности председатель комиссии по противодействию коррупции вправе проводить собеседование с декларантом, получать от него письменные пояснения, направлять в установленном порядке запросы в заинтересованные организации (органы).</w:t>
      </w:r>
    </w:p>
    <w:p w14:paraId="00000095">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8.4.</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По результатам рассмотрения декларации о возможной личной заинтересованности принимается решение (рекомендации работодателю) о конкретном способе (формах) разрешения (урегулирования) конфликта интересов (возможности возникновения конфликта интересов).</w:t>
      </w:r>
    </w:p>
    <w:p w14:paraId="00000096">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8.5.</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В случае привлечения должностного лица к ответственности за коррупционное правонарушение, допущенное при осуществлении закупки, должностное лицо по профилактике коррупционных правонарушений обеспечивает с соблюдением законодательства Российской Федерации ознакомление иных должностных лиц с последствиями незаконных действий (бездействий).</w:t>
      </w:r>
    </w:p>
    <w:p w14:paraId="00000097">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8.6.</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 xml:space="preserve">Проверенные декларации и заключения по каждому декларанту хранятся в </w:t>
      </w:r>
      <w:r>
        <w:rPr>
          <w:rFonts w:ascii="Arial" w:cs="Arial" w:eastAsia="Times New Roman" w:hAnsi="Arial"/>
          <w:color w:val="000000"/>
          <w:sz w:val="24"/>
          <w:szCs w:val="24"/>
          <w:lang w:eastAsia="ru-RU"/>
        </w:rPr>
        <w:t>Администрации</w:t>
      </w:r>
      <w:r>
        <w:rPr>
          <w:rFonts w:ascii="Arial" w:cs="Arial" w:eastAsia="Times New Roman" w:hAnsi="Arial"/>
          <w:color w:val="000000"/>
          <w:sz w:val="24"/>
          <w:szCs w:val="24"/>
          <w:lang w:eastAsia="ru-RU"/>
        </w:rPr>
        <w:t>, в личном деле работника, в соответствии с требованиями о защите сведений, являющихся персональными данными.</w:t>
      </w:r>
    </w:p>
    <w:p w14:paraId="00000098">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8.7.</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Ситуация, не являющаяся конфликтом интересов, не нуждается в специальных способах урегулирования.</w:t>
      </w:r>
    </w:p>
    <w:p w14:paraId="00000099">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8.8.</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В случае если конфликт интересов имеет место, то могут быть использованы в Администрации следующие способы его разрешения:</w:t>
      </w:r>
    </w:p>
    <w:p w14:paraId="0000009A">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добровольный отказ работника или его отстранение (постоянное или временное) от участия в обсуждении и процессе принятия решений по вопросам, которые находятся или могут оказаться под влиянием конфликта интересов;</w:t>
      </w:r>
    </w:p>
    <w:p w14:paraId="0000009B">
      <w:pPr>
        <w:spacing w:after="0" w:line="240" w:lineRule="auto"/>
        <w:ind w:firstLine="709"/>
        <w:jc w:val="both"/>
        <w:rPr>
          <w:rFonts w:ascii="Arial" w:cs="Arial" w:eastAsia="Times New Roman" w:hAnsi="Arial"/>
          <w:color w:val="000000"/>
          <w:sz w:val="24"/>
          <w:szCs w:val="24"/>
          <w:lang w:eastAsia="ru-RU"/>
        </w:rPr>
      </w:pPr>
      <w:r>
        <w:rPr>
          <w:rFonts w:ascii="Times New Roman" w:cs="Times New Roman" w:eastAsia="Times New Roman" w:hAnsi="Times New Roman"/>
          <w:color w:val="000000"/>
          <w:sz w:val="24"/>
          <w:szCs w:val="24"/>
          <w:lang w:eastAsia="ru-RU"/>
        </w:rPr>
        <w:t>-</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пересмотр и изменение функциональных обязанностей работника.</w:t>
      </w:r>
    </w:p>
    <w:p w14:paraId="0000009C">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9.</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Ответственность должностных лиц при предотвращении и урегулировании конфликта интересов при осуществлении закупок</w:t>
      </w:r>
    </w:p>
    <w:p w14:paraId="0000009D">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9.1.</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Соблюдение требований настоящего Положения является обязательным для всех должностных лиц.</w:t>
      </w:r>
    </w:p>
    <w:p w14:paraId="0000009E">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9.2.</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w:t>
      </w:r>
    </w:p>
    <w:p w14:paraId="0000009F">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9.3.</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Физическое лицо, совершившее коррупционное правонарушение, по решению суда может быть лишено в соответствии с законодательством Российской Федерации права занимать определенные должности муниципальной службы.</w:t>
      </w:r>
    </w:p>
    <w:p w14:paraId="000000A0">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10.</w:t>
      </w:r>
      <w:r>
        <w:rPr>
          <w:rFonts w:ascii="Times New Roman" w:cs="Times New Roman" w:eastAsia="Times New Roman" w:hAnsi="Times New Roman"/>
          <w:color w:val="000000"/>
          <w:sz w:val="14"/>
          <w:szCs w:val="14"/>
          <w:lang w:eastAsia="ru-RU"/>
        </w:rPr>
        <w:t>             </w:t>
      </w:r>
      <w:bookmarkStart w:id="6" w:name="bookmark5"/>
      <w:r>
        <w:rPr>
          <w:rFonts w:ascii="Arial" w:cs="Arial" w:eastAsia="Times New Roman" w:hAnsi="Arial"/>
          <w:color w:val="000000"/>
          <w:sz w:val="24"/>
          <w:szCs w:val="24"/>
          <w:lang w:eastAsia="ru-RU"/>
        </w:rPr>
        <w:t>Заключительные положения</w:t>
      </w:r>
      <w:bookmarkEnd w:id="6"/>
    </w:p>
    <w:p w14:paraId="000000A1">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10.1.</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Настоящее Положение вступает в силу с даты его утверждения.</w:t>
      </w:r>
    </w:p>
    <w:p w14:paraId="000000A2">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10.2.</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Настоящее Положение может быть изменено и (или) дополнено, в том числе в случае изменения законодательства Российской Федерации.</w:t>
      </w:r>
    </w:p>
    <w:p w14:paraId="000000A3">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10.3.</w:t>
      </w:r>
      <w:r>
        <w:rPr>
          <w:rFonts w:ascii="Times New Roman" w:cs="Times New Roman" w:eastAsia="Times New Roman" w:hAnsi="Times New Roman"/>
          <w:color w:val="000000"/>
          <w:sz w:val="14"/>
          <w:szCs w:val="14"/>
          <w:lang w:eastAsia="ru-RU"/>
        </w:rPr>
        <w:t>      </w:t>
      </w:r>
      <w:r>
        <w:rPr>
          <w:rFonts w:ascii="Arial" w:cs="Arial" w:eastAsia="Times New Roman" w:hAnsi="Arial"/>
          <w:color w:val="000000"/>
          <w:sz w:val="24"/>
          <w:szCs w:val="24"/>
          <w:lang w:eastAsia="ru-RU"/>
        </w:rPr>
        <w:t>Изменения и дополнения к настоящему Положению вступают в силу с даты их утверждения в установленном порядке.</w:t>
      </w:r>
    </w:p>
    <w:p w14:paraId="000000A4">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 </w:t>
      </w:r>
    </w:p>
    <w:p w14:paraId="000000A5">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 </w:t>
      </w:r>
    </w:p>
    <w:p w14:paraId="000000A6">
      <w:pPr>
        <w:spacing w:after="0" w:line="240" w:lineRule="auto"/>
        <w:ind w:firstLine="709"/>
        <w:jc w:val="both"/>
        <w:rPr>
          <w:rFonts w:ascii="Arial" w:cs="Arial" w:eastAsia="Times New Roman" w:hAnsi="Arial"/>
          <w:color w:val="000000"/>
          <w:sz w:val="24"/>
          <w:szCs w:val="24"/>
          <w:lang w:eastAsia="ru-RU"/>
        </w:rPr>
      </w:pPr>
      <w:r>
        <w:rPr>
          <w:rFonts w:ascii="Arial" w:cs="Arial" w:eastAsia="Times New Roman" w:hAnsi="Arial"/>
          <w:color w:val="000000"/>
          <w:sz w:val="24"/>
          <w:szCs w:val="24"/>
          <w:lang w:eastAsia="ru-RU"/>
        </w:rPr>
        <w:t> </w:t>
      </w:r>
    </w:p>
    <w:p w14:paraId="000000A7">
      <w:pPr>
        <w:spacing w:after="0" w:line="240" w:lineRule="auto"/>
        <w:ind w:firstLine="567"/>
        <w:jc w:val="both"/>
        <w:rPr>
          <w:rFonts w:ascii="Calibri" w:cs="Times New Roman" w:eastAsia="Times New Roman" w:hAnsi="Calibri"/>
          <w:color w:val="000000"/>
          <w:sz w:val="20"/>
          <w:szCs w:val="20"/>
          <w:lang w:eastAsia="ru-RU"/>
        </w:rPr>
      </w:pPr>
      <w:r>
        <w:rPr>
          <w:rFonts w:ascii="Arial" w:cs="Arial" w:eastAsia="Times New Roman" w:hAnsi="Arial"/>
          <w:color w:val="000000"/>
          <w:sz w:val="24"/>
          <w:szCs w:val="24"/>
          <w:lang w:eastAsia="ru-RU"/>
        </w:rPr>
        <w:t xml:space="preserve"> </w:t>
      </w:r>
    </w:p>
    <w:p w14:paraId="000000A8"/>
    <w:sectPr>
      <w:pgSz w:w="11906" w:h="16838"/>
      <w:pgMar w:top="1134" w:right="850" w:bottom="1134" w:left="1701" w:header="708" w:footer="708" w:gutter="0"/>
      <w:cols w:space="708"/>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00000000" w:usb1="4000acff" w:usb2="00000001" w:usb3="00000000" w:csb0="0000019f" w:csb1="00000000"/>
  </w:font>
  <w:font w:name="Times New Roman">
    <w:panose1 w:val="02020603050405020304"/>
    <w:charset w:val="00"/>
    <w:family w:val="roman"/>
    <w:pitch w:val="variable"/>
    <w:sig w:usb0="00000000" w:usb1="00000000" w:usb2="00000009" w:usb3="00000000" w:csb0="000001ff" w:csb1="00000000"/>
  </w:font>
  <w:font w:name="Arial">
    <w:panose1 w:val="020b0604020202020204"/>
    <w:charset w:val="00"/>
    <w:family w:val="swiss"/>
    <w:pitch w:val="variable"/>
    <w:sig w:usb0="00000000" w:usb1="00000000" w:usb2="00000009" w:usb3="00000000" w:csb0="000001ff" w:csb1="00000000"/>
  </w:font>
  <w:font w:name="Calibri Light">
    <w:panose1 w:val="020f0302020204030204"/>
    <w:charset w:val="00"/>
    <w:family w:val="swiss"/>
    <w:pitch w:val="variable"/>
    <w:sig w:usb0="00000000" w:usb1="4000207b" w:usb2="00000000" w:usb3="00000000" w:csb0="0000009f" w:csb1="00000000"/>
  </w:font>
  <w:font w:name="Cambria">
    <w:panose1 w:val="02040503050406030204"/>
    <w:charset w:val="00"/>
    <w:family w:val="roman"/>
    <w:pitch w:val="variable"/>
    <w:sig w:usb0="00000000" w:usb1="4000004b" w:usb2="00000000" w:usb3="00000000" w:csb0="0000009f" w:csb1="00000000"/>
  </w:font>
  <w:font w:name="Courier New">
    <w:panose1 w:val="02070309020205020404"/>
    <w:charset w:val="00"/>
    <w:family w:val="modern"/>
    <w:pitch w:val="fixed"/>
    <w:sig w:usb0="00000000" w:usb1="00000000" w:usb2="00000009" w:usb3="00000000" w:csb0="000001ff" w:csb1="00000000"/>
  </w:font>
  <w:font w:name="Tahoma">
    <w:panose1 w:val="020b0604030504040204"/>
    <w:charset w:val="00"/>
    <w:family w:val="roman"/>
    <w:pitch w:val="variable"/>
    <w:sig w:usb0="61002a87" w:usb1="00000000" w:usb2="00000008" w:usb3="00000000" w:csb0="000001ff" w:csb1="00000000"/>
  </w:font>
  <w:font w:name="Verdana">
    <w:panose1 w:val="020b0604030504040204"/>
    <w:charset w:val="00"/>
    <w:family w:val="roman"/>
    <w:pitch w:val="variable"/>
    <w:sig w:usb0="00000000" w:usb1="4000205b" w:usb2="00000010" w:usb3="00000000" w:csb0="0000019f" w:csb1="00000000"/>
  </w:font>
  <w:font w:name="Symbol">
    <w:panose1 w:val="05050102010706020507"/>
    <w:charset w:val="02"/>
    <w:family w:val="roman"/>
    <w:notTrueType w:val="on"/>
    <w:pitch w:val="variable"/>
  </w:font>
  <w:font w:name="Wingdings">
    <w:panose1 w:val="05000000000000000000"/>
    <w:charset w:val="02"/>
    <w:family w:val="auto"/>
    <w:notTrueType w:val="on"/>
    <w:pitch w:val="variable"/>
  </w:font>
  <w:font w:name="Helvetica Neue">
    <w:charset w:val="00"/>
    <w:family w:val="swiss"/>
    <w:pitch w:val="variable"/>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50BA"/>
    <w:rsid w:val="00005F92"/>
    <w:rsid w:val="002F5932"/>
    <w:rsid w:val="00357C8F"/>
    <w:rsid w:val="004E32D0"/>
    <w:rsid w:val="00585E98"/>
    <w:rsid w:val="005E2247"/>
    <w:rsid w:val="00622E62"/>
    <w:rsid w:val="007C1A7A"/>
    <w:rsid w:val="00B9081B"/>
    <w:rsid w:val="00BB50BA"/>
    <w:rsid w:val="00BB635C"/>
    <w:rsid w:val="00D72CAC"/>
    <w:rsid w:val="00E15B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B5F389"/>
  <w15:chartTrackingRefBased/>
  <w15:docId w15:val="{5C531E78-94AD-4990-AFA4-F1B95D4D43A8}"/>
  <w:footnotePr/>
  <w:endnotePr/>
</w:settings>
</file>

<file path=word/styles.xml><?xml version="1.0" encoding="utf-8"?>
<w:styles xmlns:r="http://schemas.openxmlformats.org/officeDocument/2006/relationships" xmlns:w14="http://schemas.microsoft.com/office/word/2010/wordml" xmlns:w="http://schemas.openxmlformats.org/wordprocessingml/2006/main">
  <w:docDefaults>
    <w:rPrDefault>
      <w:rPr>
        <w:rFonts w:asciiTheme="minorHAnsi" w:cstheme="minorBidi" w:eastAsiaTheme="minorHAnsi" w:hAnsiTheme="minorHAnsi"/>
        <w:sz w:val="22"/>
        <w:szCs w:val="22"/>
        <w:lang w:val="ru-RU" w:bidi="ar-SA" w:eastAsia="en-US"/>
      </w:rPr>
    </w:rPrDefault>
    <w:pPrDefault>
      <w:pPr>
        <w:spacing w:after="160" w:line="259" w:lineRule="auto"/>
      </w:pPr>
    </w:pPrDefault>
  </w:docDefaults>
  <w:style w:type="paragraph" w:styleId="Heading1">
    <w:name w:val="Heading 1"/>
    <w:link w:val="Heading1Char"/>
    <w:uiPriority w:val="9"/>
    <w:qFormat w:val="on"/>
    <w:pPr>
      <w:keepNext w:val="on"/>
      <w:keepLines w:val="on"/>
      <w:spacing w:before="480" w:after="0"/>
    </w:pPr>
    <w:rPr>
      <w:rFonts w:asciiTheme="majorHAnsi" w:cstheme="majorBidi" w:eastAsiaTheme="majorEastAsia" w:hAnsiTheme="majorHAnsi"/>
      <w:b/>
      <w:bCs/>
      <w:color w:val="2e74b4" w:themeColor="accent1" w:themeShade="bf"/>
      <w:sz w:val="28"/>
      <w:szCs w:val="28"/>
    </w:rPr>
  </w:style>
  <w:style w:type="paragraph" w:styleId="Heading2">
    <w:name w:val="Heading 2"/>
    <w:link w:val="Heading2Char"/>
    <w:uiPriority w:val="9"/>
    <w:semiHidden w:val="on"/>
    <w:unhideWhenUsed w:val="on"/>
    <w:qFormat w:val="on"/>
    <w:pPr>
      <w:keepNext w:val="on"/>
      <w:keepLines w:val="on"/>
      <w:spacing w:before="200" w:after="0"/>
    </w:pPr>
    <w:rPr>
      <w:rFonts w:asciiTheme="majorHAnsi" w:cstheme="majorBidi" w:eastAsiaTheme="majorEastAsia" w:hAnsiTheme="majorHAnsi"/>
      <w:b/>
      <w:bCs/>
      <w:color w:val="5b9bd5" w:themeColor="accent1"/>
      <w:sz w:val="26"/>
      <w:szCs w:val="26"/>
    </w:rPr>
  </w:style>
  <w:style w:type="paragraph" w:styleId="Heading3">
    <w:name w:val="Heading 3"/>
    <w:link w:val="Heading3Char"/>
    <w:uiPriority w:val="9"/>
    <w:semiHidden w:val="on"/>
    <w:unhideWhenUsed w:val="on"/>
    <w:qFormat w:val="on"/>
    <w:pPr>
      <w:keepNext w:val="on"/>
      <w:keepLines w:val="on"/>
      <w:spacing w:before="200" w:after="0"/>
    </w:pPr>
    <w:rPr>
      <w:rFonts w:asciiTheme="majorHAnsi" w:cstheme="majorBidi" w:eastAsiaTheme="majorEastAsia" w:hAnsiTheme="majorHAnsi"/>
      <w:b/>
      <w:bCs/>
      <w:color w:val="5b9bd5" w:themeColor="accent1"/>
    </w:rPr>
  </w:style>
  <w:style w:type="paragraph" w:styleId="Heading4">
    <w:name w:val="Heading 4"/>
    <w:link w:val="Heading4Char"/>
    <w:uiPriority w:val="9"/>
    <w:semiHidden w:val="on"/>
    <w:unhideWhenUsed w:val="on"/>
    <w:qFormat w:val="on"/>
    <w:pPr>
      <w:keepNext w:val="on"/>
      <w:keepLines w:val="on"/>
      <w:spacing w:before="200" w:after="0"/>
    </w:pPr>
    <w:rPr>
      <w:rFonts w:asciiTheme="majorHAnsi" w:cstheme="majorBidi" w:eastAsiaTheme="majorEastAsia" w:hAnsiTheme="majorHAnsi"/>
      <w:b/>
      <w:bCs/>
      <w:i/>
      <w:iCs/>
      <w:color w:val="5b9bd5" w:themeColor="accent1"/>
    </w:rPr>
  </w:style>
  <w:style w:type="paragraph" w:styleId="Heading5">
    <w:name w:val="Heading 5"/>
    <w:link w:val="Heading5Char"/>
    <w:uiPriority w:val="9"/>
    <w:semiHidden w:val="on"/>
    <w:unhideWhenUsed w:val="on"/>
    <w:qFormat w:val="on"/>
    <w:pPr>
      <w:keepNext w:val="on"/>
      <w:keepLines w:val="on"/>
      <w:spacing w:before="200" w:after="0"/>
    </w:pPr>
    <w:rPr>
      <w:rFonts w:asciiTheme="majorHAnsi" w:cstheme="majorBidi" w:eastAsiaTheme="majorEastAsia" w:hAnsiTheme="majorHAnsi"/>
      <w:color w:val="1f4d77" w:themeColor="accent1" w:themeShade="7f"/>
    </w:rPr>
  </w:style>
  <w:style w:type="paragraph" w:styleId="Heading6">
    <w:name w:val="Heading 6"/>
    <w:link w:val="Heading6Char"/>
    <w:uiPriority w:val="9"/>
    <w:semiHidden w:val="on"/>
    <w:unhideWhenUsed w:val="on"/>
    <w:qFormat w:val="on"/>
    <w:pPr>
      <w:keepNext w:val="on"/>
      <w:keepLines w:val="on"/>
      <w:spacing w:before="200" w:after="0"/>
    </w:pPr>
    <w:rPr>
      <w:rFonts w:asciiTheme="majorHAnsi" w:cstheme="majorBidi" w:eastAsiaTheme="majorEastAsia" w:hAnsiTheme="majorHAnsi"/>
      <w:i/>
      <w:iCs/>
      <w:color w:val="1f4d77" w:themeColor="accent1" w:themeShade="7f"/>
    </w:rPr>
  </w:style>
  <w:style w:type="paragraph" w:styleId="Heading7">
    <w:name w:val="Heading 7"/>
    <w:link w:val="Heading7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rPr>
  </w:style>
  <w:style w:type="paragraph" w:styleId="Heading8">
    <w:name w:val="Heading 8"/>
    <w:link w:val="Heading8Char"/>
    <w:uiPriority w:val="9"/>
    <w:semiHidden w:val="on"/>
    <w:unhideWhenUsed w:val="on"/>
    <w:qFormat w:val="on"/>
    <w:pPr>
      <w:keepNext w:val="on"/>
      <w:keepLines w:val="on"/>
      <w:spacing w:before="200" w:after="0"/>
    </w:pPr>
    <w:rPr>
      <w:rFonts w:asciiTheme="majorHAnsi" w:cstheme="majorBidi" w:eastAsiaTheme="majorEastAsia" w:hAnsiTheme="majorHAnsi"/>
      <w:color w:val="404040" w:themeColor="text1" w:themeTint="bf"/>
      <w:sz w:val="20"/>
      <w:szCs w:val="20"/>
    </w:rPr>
  </w:style>
  <w:style w:type="paragraph" w:styleId="Heading9">
    <w:name w:val="Heading 9"/>
    <w:link w:val="Heading9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sz w:val="20"/>
      <w:szCs w:val="20"/>
    </w:rPr>
  </w:style>
  <w:style w:type="paragraph" w:styleId="NoSpacing">
    <w:name w:val="No Spacing"/>
    <w:uiPriority w:val="1"/>
    <w:qFormat w:val="on"/>
    <w:pPr>
      <w:spacing w:after="0" w:line="240" w:lineRule="auto"/>
    </w:pPr>
  </w:style>
  <w:style w:type="character" w:customStyle="1" w:styleId="Heading1Char">
    <w:name w:val="Heading 1 Char"/>
    <w:link w:val="Heading1"/>
    <w:uiPriority w:val="9"/>
    <w:rPr>
      <w:rFonts w:asciiTheme="majorHAnsi" w:cstheme="majorBidi" w:eastAsiaTheme="majorEastAsia" w:hAnsiTheme="majorHAnsi"/>
      <w:b/>
      <w:bCs/>
      <w:color w:val="2e74b4" w:themeColor="accent1" w:themeShade="bf"/>
      <w:sz w:val="28"/>
      <w:szCs w:val="28"/>
    </w:rPr>
  </w:style>
  <w:style w:type="character" w:customStyle="1" w:styleId="Heading2Char">
    <w:name w:val="Heading 2 Char"/>
    <w:link w:val="Heading2"/>
    <w:uiPriority w:val="9"/>
    <w:rPr>
      <w:rFonts w:asciiTheme="majorHAnsi" w:cstheme="majorBidi" w:eastAsiaTheme="majorEastAsia" w:hAnsiTheme="majorHAnsi"/>
      <w:b/>
      <w:bCs/>
      <w:color w:val="5b9bd5" w:themeColor="accent1"/>
      <w:sz w:val="26"/>
      <w:szCs w:val="26"/>
    </w:rPr>
  </w:style>
  <w:style w:type="character" w:customStyle="1" w:styleId="Heading3Char">
    <w:name w:val="Heading 3 Char"/>
    <w:link w:val="Heading3"/>
    <w:uiPriority w:val="9"/>
    <w:rPr>
      <w:rFonts w:asciiTheme="majorHAnsi" w:cstheme="majorBidi" w:eastAsiaTheme="majorEastAsia" w:hAnsiTheme="majorHAnsi"/>
      <w:b/>
      <w:bCs/>
      <w:color w:val="5b9bd5" w:themeColor="accent1"/>
    </w:rPr>
  </w:style>
  <w:style w:type="character" w:customStyle="1" w:styleId="Heading4Char">
    <w:name w:val="Heading 4 Char"/>
    <w:link w:val="Heading4"/>
    <w:uiPriority w:val="9"/>
    <w:rPr>
      <w:rFonts w:asciiTheme="majorHAnsi" w:cstheme="majorBidi" w:eastAsiaTheme="majorEastAsia" w:hAnsiTheme="majorHAnsi"/>
      <w:b/>
      <w:bCs/>
      <w:i/>
      <w:iCs/>
      <w:color w:val="5b9bd5" w:themeColor="accent1"/>
    </w:rPr>
  </w:style>
  <w:style w:type="character" w:customStyle="1" w:styleId="Heading5Char">
    <w:name w:val="Heading 5 Char"/>
    <w:link w:val="Heading5"/>
    <w:uiPriority w:val="9"/>
    <w:rPr>
      <w:rFonts w:asciiTheme="majorHAnsi" w:cstheme="majorBidi" w:eastAsiaTheme="majorEastAsia" w:hAnsiTheme="majorHAnsi"/>
      <w:color w:val="1f4d77" w:themeColor="accent1" w:themeShade="7f"/>
    </w:rPr>
  </w:style>
  <w:style w:type="character" w:customStyle="1" w:styleId="Heading6Char">
    <w:name w:val="Heading 6 Char"/>
    <w:link w:val="Heading6"/>
    <w:uiPriority w:val="9"/>
    <w:rPr>
      <w:rFonts w:asciiTheme="majorHAnsi" w:cstheme="majorBidi" w:eastAsiaTheme="majorEastAsia" w:hAnsiTheme="majorHAnsi"/>
      <w:i/>
      <w:iCs/>
      <w:color w:val="1f4d77" w:themeColor="accent1" w:themeShade="7f"/>
    </w:rPr>
  </w:style>
  <w:style w:type="character" w:customStyle="1" w:styleId="Heading7Char">
    <w:name w:val="Heading 7 Char"/>
    <w:link w:val="Heading7"/>
    <w:uiPriority w:val="9"/>
    <w:rPr>
      <w:rFonts w:asciiTheme="majorHAnsi" w:cstheme="majorBidi" w:eastAsiaTheme="majorEastAsia" w:hAnsiTheme="majorHAnsi"/>
      <w:i/>
      <w:iCs/>
      <w:color w:val="404040" w:themeColor="text1" w:themeTint="bf"/>
    </w:rPr>
  </w:style>
  <w:style w:type="character" w:customStyle="1" w:styleId="Heading8Char">
    <w:name w:val="Heading 8 Char"/>
    <w:link w:val="Heading8"/>
    <w:uiPriority w:val="9"/>
    <w:rPr>
      <w:rFonts w:asciiTheme="majorHAnsi" w:cstheme="majorBidi" w:eastAsiaTheme="majorEastAsia" w:hAnsiTheme="majorHAnsi"/>
      <w:color w:val="404040" w:themeColor="text1" w:themeTint="bf"/>
      <w:sz w:val="20"/>
      <w:szCs w:val="20"/>
    </w:rPr>
  </w:style>
  <w:style w:type="character" w:customStyle="1" w:styleId="Heading9Char">
    <w:name w:val="Heading 9 Char"/>
    <w:link w:val="Heading9"/>
    <w:uiPriority w:val="9"/>
    <w:rPr>
      <w:rFonts w:asciiTheme="majorHAnsi" w:cstheme="majorBidi" w:eastAsiaTheme="majorEastAsia" w:hAnsiTheme="majorHAnsi"/>
      <w:i/>
      <w:iCs/>
      <w:color w:val="404040" w:themeColor="text1" w:themeTint="bf"/>
      <w:sz w:val="20"/>
      <w:szCs w:val="20"/>
    </w:rPr>
  </w:style>
  <w:style w:type="paragraph" w:styleId="Title">
    <w:name w:val="Title"/>
    <w:link w:val="TitleChar"/>
    <w:uiPriority w:val="10"/>
    <w:qFormat w:val="on"/>
    <w:pPr>
      <w:pBdr>
        <w:bottom w:val="single" w:color="5b9bd5" w:themeColor="accent1" w:sz="8" w:space="4"/>
      </w:pBdr>
      <w:spacing w:after="300" w:line="240" w:lineRule="auto"/>
      <w:contextualSpacing w:val="on"/>
    </w:pPr>
    <w:rPr>
      <w:rFonts w:asciiTheme="majorHAnsi" w:cstheme="majorBidi" w:eastAsiaTheme="majorEastAsia" w:hAnsiTheme="majorHAnsi"/>
      <w:color w:val="333f4f" w:themeColor="text2" w:themeShade="bf"/>
      <w:spacing w:val="5"/>
      <w:sz w:val="52"/>
      <w:szCs w:val="52"/>
    </w:rPr>
  </w:style>
  <w:style w:type="character" w:customStyle="1" w:styleId="TitleChar">
    <w:name w:val="Title Char"/>
    <w:link w:val="Title"/>
    <w:uiPriority w:val="10"/>
    <w:rPr>
      <w:rFonts w:asciiTheme="majorHAnsi" w:cstheme="majorBidi" w:eastAsiaTheme="majorEastAsia" w:hAnsiTheme="majorHAnsi"/>
      <w:color w:val="333f4f" w:themeColor="text2" w:themeShade="bf"/>
      <w:spacing w:val="5"/>
      <w:sz w:val="52"/>
      <w:szCs w:val="52"/>
    </w:rPr>
  </w:style>
  <w:style w:type="paragraph" w:styleId="Subtitle">
    <w:name w:val="Subtitle"/>
    <w:link w:val="SubtitleChar"/>
    <w:uiPriority w:val="11"/>
    <w:qFormat w:val="on"/>
    <w:pPr/>
    <w:rPr>
      <w:rFonts w:asciiTheme="majorHAnsi" w:cstheme="majorBidi" w:eastAsiaTheme="majorEastAsia" w:hAnsiTheme="majorHAnsi"/>
      <w:i/>
      <w:iCs/>
      <w:color w:val="5b9bd5" w:themeColor="accent1"/>
      <w:spacing w:val="15"/>
      <w:sz w:val="24"/>
      <w:szCs w:val="24"/>
    </w:rPr>
  </w:style>
  <w:style w:type="character" w:customStyle="1" w:styleId="SubtitleChar">
    <w:name w:val="Subtitle Char"/>
    <w:link w:val="Subtitle"/>
    <w:uiPriority w:val="11"/>
    <w:rPr>
      <w:rFonts w:asciiTheme="majorHAnsi" w:cstheme="majorBidi" w:eastAsiaTheme="majorEastAsia" w:hAnsiTheme="majorHAnsi"/>
      <w:i/>
      <w:iCs/>
      <w:color w:val="5b9bd5" w:themeColor="accent1"/>
      <w:spacing w:val="15"/>
      <w:sz w:val="24"/>
      <w:szCs w:val="24"/>
    </w:rPr>
  </w:style>
  <w:style w:type="character" w:styleId="SubtleEmphasis">
    <w:name w:val="Subtle Emphasis"/>
    <w:uiPriority w:val="19"/>
    <w:qFormat w:val="on"/>
    <w:rPr>
      <w:i/>
      <w:iCs/>
      <w:color w:val="808080" w:themeColor="text1" w:themeTint="7f"/>
    </w:rPr>
  </w:style>
  <w:style w:type="character" w:styleId="Emphasis">
    <w:name w:val="Emphasis"/>
    <w:uiPriority w:val="20"/>
    <w:qFormat w:val="on"/>
    <w:rPr>
      <w:i/>
      <w:iCs/>
    </w:rPr>
  </w:style>
  <w:style w:type="character" w:styleId="IntenseEmphasis">
    <w:name w:val="Intense Emphasis"/>
    <w:uiPriority w:val="21"/>
    <w:qFormat w:val="on"/>
    <w:rPr>
      <w:b/>
      <w:bCs/>
      <w:i/>
      <w:iCs/>
      <w:color w:val="5b9bd5" w:themeColor="accent1"/>
    </w:rPr>
  </w:style>
  <w:style w:type="character" w:styleId="Strong">
    <w:name w:val="Strong"/>
    <w:uiPriority w:val="22"/>
    <w:qFormat w:val="on"/>
    <w:rPr>
      <w:b/>
      <w:bCs/>
    </w:rPr>
  </w:style>
  <w:style w:type="paragraph" w:styleId="Quote">
    <w:name w:val="Quote"/>
    <w:link w:val="QuoteChar"/>
    <w:uiPriority w:val="29"/>
    <w:qFormat w:val="on"/>
    <w:rPr>
      <w:i/>
      <w:iCs/>
      <w:color w:val="000000" w:themeColor="text1"/>
    </w:rPr>
  </w:style>
  <w:style w:type="character" w:customStyle="1" w:styleId="QuoteChar">
    <w:name w:val="Quote Char"/>
    <w:link w:val="Quote"/>
    <w:uiPriority w:val="29"/>
    <w:rPr>
      <w:i/>
      <w:iCs/>
      <w:color w:val="000000" w:themeColor="text1"/>
    </w:rPr>
  </w:style>
  <w:style w:type="paragraph" w:styleId="IntenseQuote">
    <w:name w:val="Intense Quote"/>
    <w:link w:val="IntenseQuoteChar"/>
    <w:uiPriority w:val="30"/>
    <w:qFormat w:val="on"/>
    <w:pPr>
      <w:pBdr>
        <w:bottom w:val="single" w:color="5b9bd5" w:themeColor="accent1" w:sz="4" w:space="4"/>
      </w:pBdr>
      <w:spacing w:before="200" w:after="280"/>
      <w:ind w:left="936" w:right="936"/>
    </w:pPr>
    <w:rPr>
      <w:b/>
      <w:bCs/>
      <w:i/>
      <w:iCs/>
      <w:color w:val="5b9bd5" w:themeColor="accent1"/>
    </w:rPr>
  </w:style>
  <w:style w:type="character" w:customStyle="1" w:styleId="IntenseQuoteChar">
    <w:name w:val="Intense Quote Char"/>
    <w:link w:val="IntenseQuote"/>
    <w:uiPriority w:val="30"/>
    <w:rPr>
      <w:b/>
      <w:bCs/>
      <w:i/>
      <w:iCs/>
      <w:color w:val="5b9bd5" w:themeColor="accent1"/>
    </w:rPr>
  </w:style>
  <w:style w:type="character" w:styleId="SubtleReference">
    <w:name w:val="Subtle Reference"/>
    <w:uiPriority w:val="31"/>
    <w:qFormat w:val="on"/>
    <w:rPr>
      <w:smallCaps/>
      <w:color w:val="ed7d31" w:themeColor="accent2"/>
      <w:u w:val="single"/>
    </w:rPr>
  </w:style>
  <w:style w:type="character" w:styleId="IntenseReference">
    <w:name w:val="Intense Reference"/>
    <w:uiPriority w:val="32"/>
    <w:qFormat w:val="on"/>
    <w:rPr>
      <w:b/>
      <w:bCs/>
      <w:smallCaps/>
      <w:color w:val="ed7d31" w:themeColor="accent2"/>
      <w:spacing w:val="5"/>
      <w:u w:val="single"/>
    </w:rPr>
  </w:style>
  <w:style w:type="character" w:styleId="BookTitle">
    <w:name w:val="Book Title"/>
    <w:uiPriority w:val="33"/>
    <w:qFormat w:val="on"/>
    <w:rPr>
      <w:b/>
      <w:bCs/>
      <w:smallCaps/>
      <w:spacing w:val="5"/>
    </w:rPr>
  </w:style>
  <w:style w:type="paragraph" w:styleId="ListParagraph">
    <w:name w:val="List Paragraph"/>
    <w:uiPriority w:val="34"/>
    <w:qFormat w:val="on"/>
    <w:pPr>
      <w:ind w:left="720"/>
      <w:contextualSpacing w:val="on"/>
    </w:pPr>
  </w:style>
  <w:style w:type="paragraph" w:styleId="Footnotetext">
    <w:name w:val="Footnote text"/>
    <w:link w:val="FootnoteTextChar"/>
    <w:uiPriority w:val="99"/>
    <w:semiHidden w:val="on"/>
    <w:unhideWhenUsed w:val="on"/>
    <w:pPr>
      <w:spacing w:after="0" w:line="240" w:lineRule="auto"/>
    </w:pPr>
    <w:rPr>
      <w:sz w:val="20"/>
      <w:szCs w:val="20"/>
    </w:rPr>
  </w:style>
  <w:style w:type="character" w:customStyle="1" w:styleId="FootnoteTextChar">
    <w:name w:val="Footnote Text Char"/>
    <w:link w:val="Footnotetext"/>
    <w:uiPriority w:val="99"/>
    <w:semiHidden w:val="on"/>
    <w:rPr>
      <w:sz w:val="20"/>
      <w:szCs w:val="20"/>
    </w:rPr>
  </w:style>
  <w:style w:type="character" w:styleId="Footnotereference">
    <w:name w:val="Footnote reference"/>
    <w:uiPriority w:val="99"/>
    <w:semiHidden w:val="on"/>
    <w:unhideWhenUsed w:val="on"/>
    <w:rPr>
      <w:vertAlign w:val="superscript"/>
    </w:rPr>
  </w:style>
  <w:style w:type="paragraph" w:styleId="Endnotetext">
    <w:name w:val="Endnote text"/>
    <w:link w:val="EndnoteTextChar"/>
    <w:uiPriority w:val="99"/>
    <w:semiHidden w:val="on"/>
    <w:unhideWhenUsed w:val="on"/>
    <w:pPr>
      <w:spacing w:after="0" w:line="240" w:lineRule="auto"/>
    </w:pPr>
    <w:rPr>
      <w:sz w:val="20"/>
      <w:szCs w:val="20"/>
    </w:rPr>
  </w:style>
  <w:style w:type="character" w:customStyle="1" w:styleId="EndnoteTextChar">
    <w:name w:val="Endnote Text Char"/>
    <w:link w:val="Endnotetext"/>
    <w:uiPriority w:val="99"/>
    <w:semiHidden w:val="on"/>
    <w:rPr>
      <w:sz w:val="20"/>
      <w:szCs w:val="20"/>
    </w:rPr>
  </w:style>
  <w:style w:type="character" w:styleId="Endnotereference">
    <w:name w:val="Endnote reference"/>
    <w:uiPriority w:val="99"/>
    <w:semiHidden w:val="on"/>
    <w:unhideWhenUsed w:val="on"/>
    <w:rPr>
      <w:vertAlign w:val="superscript"/>
    </w:rPr>
  </w:style>
  <w:style w:type="character" w:styleId="Hyperlink">
    <w:name w:val="Hyperlink"/>
    <w:uiPriority w:val="99"/>
    <w:unhideWhenUsed w:val="on"/>
    <w:rPr>
      <w:color w:val="0563c1" w:themeColor="hyperlink"/>
      <w:u w:val="single"/>
    </w:rPr>
  </w:style>
  <w:style w:type="paragraph" w:styleId="PlainText">
    <w:name w:val="Plain Text"/>
    <w:link w:val="PlainTextChar"/>
    <w:uiPriority w:val="99"/>
    <w:semiHidden w:val="on"/>
    <w:unhideWhenUsed w:val="on"/>
    <w:pPr>
      <w:spacing w:after="0" w:line="240" w:lineRule="auto"/>
    </w:pPr>
    <w:rPr>
      <w:rFonts w:ascii="Courier New" w:cs="Courier New" w:hAnsi="Courier New"/>
      <w:sz w:val="21"/>
      <w:szCs w:val="21"/>
    </w:rPr>
  </w:style>
  <w:style w:type="character" w:customStyle="1" w:styleId="PlainTextChar">
    <w:name w:val="Plain Text Char"/>
    <w:link w:val="PlainText"/>
    <w:uiPriority w:val="99"/>
    <w:rPr>
      <w:rFonts w:ascii="Courier New" w:cs="Courier New" w:hAnsi="Courier New"/>
      <w:sz w:val="21"/>
      <w:szCs w:val="21"/>
    </w:rPr>
  </w:style>
  <w:style w:type="paragraph" w:styleId="Header">
    <w:name w:val="Header"/>
    <w:link w:val="HeaderChar"/>
    <w:uiPriority w:val="99"/>
    <w:unhideWhenUsed w:val="on"/>
    <w:pPr>
      <w:spacing w:after="0" w:line="240" w:lineRule="auto"/>
    </w:pPr>
  </w:style>
  <w:style w:type="character" w:customStyle="1" w:styleId="HeaderChar">
    <w:name w:val="Header Char"/>
    <w:link w:val="Header"/>
    <w:uiPriority w:val="99"/>
  </w:style>
  <w:style w:type="paragraph" w:styleId="Footer">
    <w:name w:val="Footer"/>
    <w:link w:val="FooterChar"/>
    <w:uiPriority w:val="99"/>
    <w:unhideWhenUsed w:val="on"/>
    <w:pPr>
      <w:spacing w:after="0" w:line="240" w:lineRule="auto"/>
    </w:pPr>
  </w:style>
  <w:style w:type="character" w:customStyle="1" w:styleId="FooterChar">
    <w:name w:val="Footer Char"/>
    <w:link w:val="Footer"/>
    <w:uiPriority w:val="99"/>
  </w:style>
  <w:style w:type="paragraph" w:styleId="Caption">
    <w:name w:val="Caption"/>
    <w:uiPriority w:val="35"/>
    <w:unhideWhenUsed w:val="on"/>
    <w:qFormat w:val="on"/>
    <w:pPr>
      <w:spacing w:after="200" w:line="240" w:lineRule="auto"/>
    </w:pPr>
    <w:rPr>
      <w:i/>
      <w:iCs/>
      <w:color w:val="44546a" w:themeColor="text2"/>
      <w:sz w:val="18"/>
      <w:szCs w:val="18"/>
    </w:rPr>
  </w:style>
  <w:style w:type="paragraph" w:default="1" w:styleId="Normal">
    <w:name w:val="Normal"/>
    <w:uiPriority w:val="99"/>
    <w:qFormat w:val="on"/>
  </w:style>
  <w:style w:type="character" w:default="1" w:styleId="DefaultParagraphFont">
    <w:name w:val="Default Paragraph Font"/>
    <w:uiPriority w:val="1"/>
    <w:semiHidden w:val="on"/>
    <w:unhideWhenUsed w:val="on"/>
  </w:style>
  <w:style w:type="table" w:default="1" w:styleId="NormalTable">
    <w:name w:val="Normal Table"/>
    <w:uiPriority w:val="99"/>
    <w:semiHidden w:val="on"/>
    <w:unhideWhenUsed w:val="on"/>
    <w:tblPr>
      <w:tblInd w:w="0" w:type="dxa"/>
      <w:tblCellMar>
        <w:top w:w="0" w:type="dxa"/>
        <w:left w:w="108" w:type="dxa"/>
        <w:bottom w:w="0" w:type="dxa"/>
        <w:right w:w="108" w:type="dxa"/>
      </w:tblCellMar>
    </w:tblPr>
  </w:style>
  <w:style w:type="numbering" w:default="1" w:styleId="NoList">
    <w:name w:val="No List"/>
    <w:uiPriority w:val="99"/>
    <w:semiHidden w:val="on"/>
    <w:unhideWhenUsed w:val="o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42654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10" Type="http://schemas.openxmlformats.org/officeDocument/2006/relationships/fontTable" Target="fontTable.xml"/><Relationship Id="rId1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hyperlink" Target="https://pravo-search.minjust.ru/bigs/showDocument.html?id=9AA48369-618A-4BB4-B4B8-AE15F2B7EBF6" TargetMode="External"/><Relationship Id="rId5" Type="http://schemas.openxmlformats.org/officeDocument/2006/relationships/hyperlink" Target="https://pravo-search.minjust.ru/bigs/showDocument.html?id=E3582471-B8B8-4D69-B4C4-3DF3F904EEA0" TargetMode="External"/><Relationship Id="rId6" Type="http://schemas.openxmlformats.org/officeDocument/2006/relationships/hyperlink" Target="https://pravo-search.minjust.ru/bigs/showDocument.html?id=ED0D4DB0-035D-4DD9-9714-6988F4CB73A4" TargetMode="External"/><Relationship Id="rId7" Type="http://schemas.openxmlformats.org/officeDocument/2006/relationships/hyperlink" Target="http://pravo.minjust.ru/" TargetMode="External"/><Relationship Id="rId8" Type="http://schemas.openxmlformats.org/officeDocument/2006/relationships/hyperlink" Target="http://zakupki.gov.ru/" TargetMode="External"/><Relationship Id="rId9" Type="http://schemas.openxmlformats.org/officeDocument/2006/relationships/hyperlink" Target="https://pb.nalog.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Arab" typeface="Times New Roman"/>
        <a:font script="Beng" typeface="Vrinda"/>
        <a:font script="Cher" typeface="Plantagenet Cherokee"/>
        <a:font script="Deva" typeface="Mangal"/>
        <a:font script="Ethi" typeface="Nyala"/>
        <a:font script="Geor" typeface="Sylfaen"/>
        <a:font script="Gujr" typeface="Shruti"/>
        <a:font script="Guru" typeface="Raavi"/>
        <a:font script="Hang" typeface="맑은 고딕"/>
        <a:font script="Hebr" typeface="Times New Roman"/>
        <a:font script="Knda" typeface="Tunga"/>
        <a:font script="Khmr" typeface="MoolBoran"/>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Angsana New"/>
        <a:font script="Tibt" typeface="Microsoft Himalaya"/>
        <a:font script="Cans" typeface="Euphemia"/>
        <a:font script="Yiii" typeface="Microsoft Yi Baiti"/>
        <a:font script="Hans" typeface="等线 Light"/>
        <a:font script="Hant" typeface="新細明體"/>
        <a:font script="Jpan" typeface="游ゴシック Light"/>
      </a:majorFont>
      <a:minorFont>
        <a:latin typeface="Calibri" panose="020F0502020204030204"/>
        <a:ea typeface=""/>
        <a:cs typeface=""/>
        <a:font script="Arab" typeface="Arial"/>
        <a:font script="Beng" typeface="Vrinda"/>
        <a:font script="Cher" typeface="Plantagenet Cherokee"/>
        <a:font script="Deva" typeface="Mangal"/>
        <a:font script="Ethi" typeface="Nyala"/>
        <a:font script="Geor" typeface="Sylfaen"/>
        <a:font script="Gujr" typeface="Shruti"/>
        <a:font script="Guru" typeface="Raavi"/>
        <a:font script="Hang" typeface="맑은 고딕"/>
        <a:font script="Hebr" typeface="Arial"/>
        <a:font script="Knda" typeface="Tunga"/>
        <a:font script="Khmr" typeface="DaunPenh"/>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Cordia New"/>
        <a:font script="Tibt" typeface="Microsoft Himalaya"/>
        <a:font script="Cans" typeface="Euphemia"/>
        <a:font script="Yiii" typeface="Microsoft Yi Baiti"/>
        <a:font script="Hans" typeface="等线"/>
        <a:font script="Hant" typeface="新細明體"/>
        <a:font script="Jpan" typeface="游明朝"/>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4450</Words>
  <Characters>25365</Characters>
  <Application>Microsoft Office Word</Application>
  <DocSecurity>0</DocSecurity>
  <Lines>211</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Надежда</cp:lastModifiedBy>
</cp:coreProperties>
</file>