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25.06.2021 N 990</w:t>
              <w:br/>
              <w:t xml:space="preserve">(ред. от 23.05.2025)</w:t>
              <w:br/>
              <w:t xml:space="preserve">"Об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27.10.2025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25 июня 2021 г. N 990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</w:t>
      </w:r>
    </w:p>
    <w:p>
      <w:pPr>
        <w:pStyle w:val="2"/>
        <w:jc w:val="center"/>
      </w:pPr>
      <w:r>
        <w:rPr>
          <w:sz w:val="20"/>
        </w:rPr>
        <w:t xml:space="preserve">РАЗРАБОТКИ, УТВЕРЖДЕНИЯ И АКТУАЛИЗАЦИИ КОНТРОЛЬНЫМИ</w:t>
      </w:r>
    </w:p>
    <w:p>
      <w:pPr>
        <w:pStyle w:val="2"/>
        <w:jc w:val="center"/>
      </w:pPr>
      <w:r>
        <w:rPr>
          <w:sz w:val="20"/>
        </w:rPr>
        <w:t xml:space="preserve">(НАДЗОРНЫМИ) ОРГАНАМИ ПРОГРАММЫ ПРОФИЛАКТИКИ РИСКОВ</w:t>
      </w:r>
    </w:p>
    <w:p>
      <w:pPr>
        <w:pStyle w:val="2"/>
        <w:jc w:val="center"/>
      </w:pPr>
      <w:r>
        <w:rPr>
          <w:sz w:val="20"/>
        </w:rPr>
        <w:t xml:space="preserve">ПРИЧИНЕНИЯ ВРЕДА (УЩЕРБА) ОХРАНЯЕМЫМ ЗАКОНОМ ЦЕННОСТЯМ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8" w:tooltip="Постановление Правительства РФ от 23.05.2025 N 718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23.05.2025 N 718)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9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частью 4 статьи 44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 Правительство Российской Федерации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33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0" w:tooltip="Постановление Правительства РФ от 23.05.2025 N 718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23.05.2025 N 718)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Реализация настоящего постановления осуществляется федеральными органами исполнительной власти в пределах установленной численности работников их центральных аппаратов, территориальных органов и подведомственных им организаций, а также бюджетных ассигнований, предусмотренных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 1 июля 2021 г.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Утратил силу. - </w:t>
      </w:r>
      <w:hyperlink w:history="0" r:id="rId11" w:tooltip="Постановление Правительства РФ от 23.05.2025 N 718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23.05.2025 N 718.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25 июня 2021 г. N 990</w:t>
      </w:r>
    </w:p>
    <w:p>
      <w:pPr>
        <w:pStyle w:val="0"/>
        <w:jc w:val="both"/>
      </w:pPr>
      <w:r>
        <w:rPr>
          <w:sz w:val="20"/>
        </w:rPr>
      </w:r>
    </w:p>
    <w:bookmarkStart w:id="33" w:name="P33"/>
    <w:bookmarkEnd w:id="33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РАЗРАБОТКИ, УТВЕРЖДЕНИЯ И АКТУАЛИЗАЦИИ КОНТРОЛЬНЫМИ</w:t>
      </w:r>
    </w:p>
    <w:p>
      <w:pPr>
        <w:pStyle w:val="2"/>
        <w:jc w:val="center"/>
      </w:pPr>
      <w:r>
        <w:rPr>
          <w:sz w:val="20"/>
        </w:rPr>
        <w:t xml:space="preserve">(НАДЗОРНЫМИ) ОРГАНАМИ ПРОГРАММЫ ПРОФИЛАКТИКИ РИСКОВ</w:t>
      </w:r>
    </w:p>
    <w:p>
      <w:pPr>
        <w:pStyle w:val="2"/>
        <w:jc w:val="center"/>
      </w:pPr>
      <w:r>
        <w:rPr>
          <w:sz w:val="20"/>
        </w:rPr>
        <w:t xml:space="preserve">ПРИЧИНЕНИЯ ВРЕДА (УЩЕРБА) ОХРАНЯЕМЫМ ЗАКОНОМ ЦЕННОСТЯМ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2" w:tooltip="Постановление Правительства РФ от 23.05.2025 N 718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23.05.2025 N 718)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устанавливают порядок разработки, утверждения и актуализации контрольными (надзорными) органами для реализации в очередном календарном году программ профилактики рисков причинения вреда (ущерба) охраняемым законом ценностям (далее - программа профилактики) по соответствующему виду государственного контроля (надзора), виду муниципального контроля (далее - вид контроля).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3" w:tooltip="Постановление Правительства РФ от 23.05.2025 N 718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23.05.2025 N 718)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Программа профилактики может содержать разделы в части профилактики рисков причинения вреда (ущерба) охраняемым законом ценностям, осуществляемой территориальными органами контрольных (надзорных) органов.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Программа профилактики состоит из следующих разделов: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цели и задачи реализации программы профилактики;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перечень профилактических мероприятий, сроки (периодичность) их проведения;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показатели результативности и эффективности программы профилактики.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Для каждого вида профилактических мероприятий, включаемых в программу профилактики, определяются подразделения и (или) должностные лица контрольного (надзорного) органа, ответственные за их реализацию, а также сведения, предусмотренные </w:t>
      </w:r>
      <w:hyperlink w:history="0" w:anchor="P49" w:tooltip="5. В целях организации консультирования в программе профилактики указываются установленные положением о виде контроля способы консультирования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, которые в обязательном порядке применяются контрольным (надзорным) органом в период действия программы профилактики, перечень вопросов, по которым осуществляется консультирование.">
        <w:r>
          <w:rPr>
            <w:sz w:val="20"/>
            <w:color w:val="0000ff"/>
          </w:rPr>
          <w:t xml:space="preserve">пунктами 5</w:t>
        </w:r>
      </w:hyperlink>
      <w:r>
        <w:rPr>
          <w:sz w:val="20"/>
        </w:rPr>
        <w:t xml:space="preserve"> - </w:t>
      </w:r>
      <w:hyperlink w:history="0" w:anchor="P55" w:tooltip="9. В целях применения мер стимулирования добросовестности в программе профилактики указываются установленные положением о виде контроля мероприятия, направленные на нематериальное поощрение добросовестных контролируемых лиц.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настоящих Правил, в случае осуществления конкретного профилактического мероприятия в рамках соответствующего вида контроля.</w:t>
      </w:r>
    </w:p>
    <w:bookmarkStart w:id="49" w:name="P49"/>
    <w:bookmarkEnd w:id="4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В целях организации консультирования в программе профилактики указываются установленные положением о виде контроля способы консультирования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мероприятия), которые в обязательном порядке применяются контрольным (надзорным) органом в период действия программы профилактики, перечень вопросов, по которым осуществляется консультирование.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целях организации обобщения правоприменительной практики в программе профилактики указываются установленные положением о виде контроля сроки подготовки и размещения на официальном сайте контрольного (надзорного) органа в информационно-телекоммуникационной сети "Интернет" (далее - сеть "Интернет") доклада о правоприменительной практике.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В целях организации проведения обязательных профилактических визитов в программе профилактики указываются дата проведения и срок проведения обязательного профилактического визита, объект контроля, включая адреса мест осуществления организациями, индивидуальными предпринимателями деятельности или адреса нахождения иных объектов контроля, в отношении которых проводится обязательный профилактический визит, категории риска, к которым отнесены объекты контроля, сведения о контролируемых лицах, включая индивидуальный номер налогоплательщика, фамилию, имя, отчество (при наличии) гражданина или наименование организации, адрес организации (ее филиалов, представительств, обособленных структурных подразделений).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Изменения в данную часть программы профилактики в случае необходимости вносятся ежемесячно.</w:t>
      </w:r>
    </w:p>
    <w:p>
      <w:pPr>
        <w:pStyle w:val="0"/>
        <w:jc w:val="both"/>
      </w:pPr>
      <w:r>
        <w:rPr>
          <w:sz w:val="20"/>
        </w:rPr>
        <w:t xml:space="preserve">(п. 7 в ред. </w:t>
      </w:r>
      <w:hyperlink w:history="0" r:id="rId14" w:tooltip="Постановление Правительства РФ от 23.05.2025 N 718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23.05.2025 N 718)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В целях организации самообследования в программе профилактики указываются способы самообследования в автоматизированном режиме, применяемые в период действия программы профилактики.</w:t>
      </w:r>
    </w:p>
    <w:bookmarkStart w:id="55" w:name="P55"/>
    <w:bookmarkEnd w:id="5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В целях применения мер стимулирования добросовестности в программе профилактики указываются установленные положением о виде контроля мероприятия, направленные на нематериальное поощрение добросовестных контролируемых лиц.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10 - 14. Утратили силу. - </w:t>
      </w:r>
      <w:hyperlink w:history="0" r:id="rId15" w:tooltip="Постановление Правительства РФ от 23.05.2025 N 718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23.05.2025 N 718.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Программа профилактики утверждается решением уполномоченного должностного лица контрольного (надзорного) органа не позднее 20 декабря предшествующего года и размещается на официальном сайте контрольного (надзорного) органа в сети "Интернет" в течение 5 дней со дня утверждения.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25.06.2021 N 990</w:t>
            <w:br/>
            <w:t>(ред. от 23.05.2025)</w:t>
            <w:br/>
            <w:t>"Об утверждении Правил разработки, утверждения 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27.10.2025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05922&amp;dst=100022" TargetMode = "External"/><Relationship Id="rId9" Type="http://schemas.openxmlformats.org/officeDocument/2006/relationships/hyperlink" Target="https://login.consultant.ru/link/?req=doc&amp;base=LAW&amp;n=499669&amp;dst=100493" TargetMode = "External"/><Relationship Id="rId10" Type="http://schemas.openxmlformats.org/officeDocument/2006/relationships/hyperlink" Target="https://login.consultant.ru/link/?req=doc&amp;base=LAW&amp;n=505922&amp;dst=100023" TargetMode = "External"/><Relationship Id="rId11" Type="http://schemas.openxmlformats.org/officeDocument/2006/relationships/hyperlink" Target="https://login.consultant.ru/link/?req=doc&amp;base=LAW&amp;n=505922&amp;dst=100024" TargetMode = "External"/><Relationship Id="rId12" Type="http://schemas.openxmlformats.org/officeDocument/2006/relationships/hyperlink" Target="https://login.consultant.ru/link/?req=doc&amp;base=LAW&amp;n=505922&amp;dst=100025" TargetMode = "External"/><Relationship Id="rId13" Type="http://schemas.openxmlformats.org/officeDocument/2006/relationships/hyperlink" Target="https://login.consultant.ru/link/?req=doc&amp;base=LAW&amp;n=505922&amp;dst=100026" TargetMode = "External"/><Relationship Id="rId14" Type="http://schemas.openxmlformats.org/officeDocument/2006/relationships/hyperlink" Target="https://login.consultant.ru/link/?req=doc&amp;base=LAW&amp;n=505922&amp;dst=100027" TargetMode = "External"/><Relationship Id="rId15" Type="http://schemas.openxmlformats.org/officeDocument/2006/relationships/hyperlink" Target="https://login.consultant.ru/link/?req=doc&amp;base=LAW&amp;n=505922&amp;dst=100030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25.06.2021 N 990
(ред. от 23.05.2025)
"Об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ценностям"</dc:title>
  <dcterms:created xsi:type="dcterms:W3CDTF">2025-10-27T08:35:00Z</dcterms:created>
</cp:coreProperties>
</file>