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1">
      <w:pPr>
        <w:jc w:val="center"/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Обобщенная информация об исполнении (ненадлежащем исполнении) депутатами </w:t>
      </w:r>
      <w:r>
        <w:rPr>
          <w:rFonts w:ascii="Times New Roman" w:cs="Times New Roman" w:hAnsi="Times New Roman"/>
          <w:b/>
          <w:sz w:val="28"/>
          <w:szCs w:val="28"/>
        </w:rPr>
        <w:t xml:space="preserve">Думы </w:t>
      </w:r>
      <w:r>
        <w:rPr>
          <w:rFonts w:ascii="Times New Roman" w:cs="Times New Roman" w:hAnsi="Times New Roman"/>
          <w:b/>
          <w:sz w:val="28"/>
          <w:szCs w:val="28"/>
        </w:rPr>
        <w:t>Портбайкальско</w:t>
      </w:r>
      <w:r>
        <w:rPr>
          <w:rFonts w:ascii="Times New Roman" w:cs="Times New Roman" w:hAnsi="Times New Roman"/>
          <w:b/>
          <w:sz w:val="28"/>
          <w:szCs w:val="28"/>
        </w:rPr>
        <w:t>го</w:t>
      </w:r>
      <w:r>
        <w:rPr>
          <w:rFonts w:ascii="Times New Roman" w:cs="Times New Roman" w:hAnsi="Times New Roman"/>
          <w:b/>
          <w:sz w:val="28"/>
          <w:szCs w:val="28"/>
        </w:rPr>
        <w:t xml:space="preserve"> муниципального образования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 обязанности 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  <w:t>по представлению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 сведени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  <w:t>й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 о своих доходах, расходах, об имуществе и обязательствах имущественного характера, а также сведени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й 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  <w:t>о доходах, расходах, об имуществе и обязательствах имущественного характера своих супруги (супр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уга) и несовершеннолетних детей 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  <w:t>за 202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  <w:t>3</w:t>
      </w:r>
      <w:r>
        <w:rPr>
          <w:rFonts w:ascii="Times New Roman" w:cs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 год</w:t>
      </w:r>
    </w:p>
    <w:tbl>
      <w:tblPr>
        <w:tblStyle w:val="TableGrid"/>
        <w:tblW w:w="0" w:type="auto"/>
        <w:tblLook w:val="04A0"/>
      </w:tblPr>
      <w:tblGrid>
        <w:gridCol w:w="1373"/>
        <w:gridCol w:w="2022"/>
        <w:gridCol w:w="2022"/>
        <w:gridCol w:w="3108"/>
        <w:gridCol w:w="3344"/>
        <w:gridCol w:w="2917"/>
      </w:tblGrid>
      <w:tr>
        <w:trPr/>
        <w:tc>
          <w:tcPr>
            <w:cnfStyle w:val="101000000000"/>
            <w:tcW w:w="0" w:type="auto"/>
            <w:shd w:val="clear" w:color="auto" w:fill="auto"/>
          </w:tcPr>
          <w:p w14:paraId="00000002">
            <w:pPr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Общее количество депутатов</w:t>
            </w:r>
          </w:p>
        </w:tc>
        <w:tc>
          <w:tcPr>
            <w:cnfStyle w:val="100000000000"/>
            <w:tcW w:w="0" w:type="auto"/>
          </w:tcPr>
          <w:p w14:paraId="00000003">
            <w:pPr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  <w:t xml:space="preserve">Количество депутатов, осуществляющих 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свои полномочия на постоянной основе</w:t>
            </w:r>
          </w:p>
        </w:tc>
        <w:tc>
          <w:tcPr>
            <w:cnfStyle w:val="100000000000"/>
            <w:tcW w:w="0" w:type="auto"/>
          </w:tcPr>
          <w:p w14:paraId="00000004">
            <w:pPr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  <w:t xml:space="preserve">Количество депутатов, осуществляющих </w:t>
            </w:r>
            <w:r>
              <w:rPr>
                <w:rFonts w:ascii="Times New Roman" w:cs="Times New Roman" w:hAnsi="Times New Roman"/>
                <w:sz w:val="24"/>
                <w:szCs w:val="24"/>
              </w:rPr>
              <w:t>свои полномочия на непостоянной основе</w:t>
            </w:r>
          </w:p>
        </w:tc>
        <w:tc>
          <w:tcPr>
            <w:cnfStyle w:val="100000000000"/>
            <w:tcW w:w="0" w:type="auto"/>
          </w:tcPr>
          <w:p w14:paraId="00000005">
            <w:pPr>
              <w:jc w:val="center"/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  <w:t>Количество депутатов, представивших сведения о доходах, расходах, об имуществе и обязательствах имущественного характера за 202</w:t>
            </w:r>
            <w:r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  <w:t>3</w:t>
            </w:r>
            <w:r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  <w:t xml:space="preserve"> год </w:t>
            </w:r>
          </w:p>
          <w:p w14:paraId="00000006">
            <w:pPr>
              <w:jc w:val="center"/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  <w:t>(далее – сведения о доходах)</w:t>
            </w:r>
          </w:p>
          <w:p w14:paraId="00000007">
            <w:pPr>
              <w:jc w:val="center"/>
              <w:rPr>
                <w:rFonts w:ascii="Times New Roman" w:cs="Times New Roman" w:hAnsi="Times New Roman"/>
                <w:i/>
                <w:sz w:val="24"/>
                <w:szCs w:val="24"/>
                <w:shd w:val="clear" w:color="auto" w:fill="ffffff"/>
              </w:rPr>
            </w:pPr>
          </w:p>
        </w:tc>
        <w:tc>
          <w:tcPr>
            <w:cnfStyle w:val="100000000000"/>
            <w:tcW w:w="0" w:type="auto"/>
          </w:tcPr>
          <w:p w14:paraId="00000008">
            <w:pPr>
              <w:jc w:val="center"/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  <w:t>Количество депутатов, представивших сообщение об отсутствии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в отчетном периоде сделок,</w:t>
            </w:r>
            <w:r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  <w:t xml:space="preserve"> предусмотренных частью 1 статьи 3 Федерального закона </w:t>
            </w:r>
          </w:p>
          <w:p w14:paraId="00000009">
            <w:pPr>
              <w:jc w:val="center"/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  <w:t xml:space="preserve">от 3 декабря 2012 года </w:t>
            </w:r>
          </w:p>
          <w:p w14:paraId="0000000A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  <w:t>№ 230-ФЗ «О контроле за соответствием расходов лиц, замещающих государственные должности, и иных лиц их доходам»</w:t>
            </w:r>
          </w:p>
          <w:p w14:paraId="0000000B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cnfStyle w:val="100000000000"/>
            <w:tcW w:w="0" w:type="auto"/>
          </w:tcPr>
          <w:p w14:paraId="0000000C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hAnsi="Times New Roman"/>
                <w:bCs/>
                <w:sz w:val="24"/>
                <w:szCs w:val="24"/>
                <w:shd w:val="clear" w:color="auto" w:fill="ffffff"/>
              </w:rPr>
              <w:t xml:space="preserve">Количество депутатов, не исполнивших (ненадлежащим образом исполнивших) обязанность по представлению сведений о доходах </w:t>
            </w:r>
          </w:p>
        </w:tc>
      </w:tr>
      <w:tr>
        <w:trPr>
          <w:trHeight w:val="585"/>
        </w:trPr>
        <w:tc>
          <w:tcPr>
            <w:cnfStyle w:val="001000100000"/>
            <w:tcW w:w="0" w:type="auto"/>
          </w:tcPr>
          <w:p w14:paraId="0000000D">
            <w:pPr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6</w:t>
            </w:r>
          </w:p>
        </w:tc>
        <w:tc>
          <w:tcPr>
            <w:cnfStyle w:val="000000100000"/>
            <w:tcW w:w="0" w:type="auto"/>
          </w:tcPr>
          <w:p w14:paraId="0000000E">
            <w:pPr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0</w:t>
            </w:r>
          </w:p>
        </w:tc>
        <w:tc>
          <w:tcPr>
            <w:cnfStyle w:val="000000100000"/>
            <w:tcW w:w="0" w:type="auto"/>
          </w:tcPr>
          <w:p w14:paraId="0000000F">
            <w:pPr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6</w:t>
            </w:r>
          </w:p>
        </w:tc>
        <w:tc>
          <w:tcPr>
            <w:cnfStyle w:val="000000100000"/>
            <w:tcW w:w="0" w:type="auto"/>
          </w:tcPr>
          <w:p w14:paraId="00000010">
            <w:pPr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0</w:t>
            </w:r>
          </w:p>
        </w:tc>
        <w:tc>
          <w:tcPr>
            <w:cnfStyle w:val="000000100000"/>
            <w:tcW w:w="0" w:type="auto"/>
          </w:tcPr>
          <w:p w14:paraId="00000011">
            <w:pPr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6</w:t>
            </w:r>
          </w:p>
        </w:tc>
        <w:tc>
          <w:tcPr>
            <w:cnfStyle w:val="000000100000"/>
            <w:tcW w:w="0" w:type="auto"/>
          </w:tcPr>
          <w:p w14:paraId="00000012">
            <w:pPr>
              <w:jc w:val="center"/>
              <w:rPr>
                <w:rFonts w:ascii="Times New Roman" w:cs="Times New Roman" w:hAnsi="Times New Roman"/>
                <w:sz w:val="24"/>
                <w:szCs w:val="24"/>
              </w:rPr>
            </w:pPr>
            <w:r>
              <w:rPr>
                <w:rFonts w:ascii="Times New Roman" w:cs="Times New Roman" w:hAnsi="Times New Roman"/>
                <w:sz w:val="24"/>
                <w:szCs w:val="24"/>
              </w:rPr>
              <w:t>0</w:t>
            </w:r>
          </w:p>
        </w:tc>
      </w:tr>
    </w:tbl>
    <w:p w14:paraId="00000013">
      <w:pPr>
        <w:rPr>
          <w:rFonts w:ascii="Times New Roman" w:cs="Times New Roman" w:hAnsi="Times New Roman"/>
          <w:b/>
          <w:sz w:val="28"/>
          <w:szCs w:val="28"/>
        </w:rPr>
      </w:pPr>
    </w:p>
    <w:p w14:paraId="00000014">
      <w:pPr>
        <w:rPr>
          <w:rFonts w:ascii="Times New Roman" w:cs="Times New Roman" w:hAnsi="Times New Roman"/>
          <w:b/>
          <w:sz w:val="28"/>
          <w:szCs w:val="28"/>
        </w:rPr>
      </w:pPr>
    </w:p>
    <w:p w14:paraId="00000015">
      <w:pPr>
        <w:rPr>
          <w:rFonts w:ascii="Times New Roman" w:cs="Times New Roman" w:hAnsi="Times New Roman"/>
          <w:b/>
          <w:sz w:val="28"/>
          <w:szCs w:val="28"/>
        </w:rPr>
      </w:pPr>
    </w:p>
    <w:p w14:paraId="00000016">
      <w:pPr>
        <w:rPr>
          <w:rFonts w:ascii="Times New Roman" w:cs="Times New Roman" w:hAnsi="Times New Roman"/>
          <w:b/>
          <w:sz w:val="28"/>
          <w:szCs w:val="28"/>
        </w:rPr>
      </w:pPr>
    </w:p>
    <w:p w14:paraId="00000017">
      <w:pPr>
        <w:rPr>
          <w:rFonts w:ascii="Times New Roman" w:cs="Times New Roman" w:hAnsi="Times New Roman"/>
          <w:b/>
          <w:sz w:val="28"/>
          <w:szCs w:val="28"/>
        </w:rPr>
      </w:pPr>
      <w:bookmarkStart w:id="0" w:name="_GoBack"/>
      <w:bookmarkEnd w:id="0"/>
    </w:p>
    <w:sectPr>
      <w:pgSz w:w="16838" w:h="11906" w:orient="landscape"/>
      <w:pgMar w:top="1701" w:right="1134" w:bottom="850" w:left="1134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00000000" w:usb1="00000000" w:usb2="00000009" w:usb3="00000000" w:csb0="000001ff" w:csb1="00000000"/>
  </w:font>
  <w:font w:name="Calibri Light">
    <w:panose1 w:val="020f03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9F7"/>
    <w:rsid w:val="00012F11"/>
    <w:rsid w:val="000724C0"/>
    <w:rsid w:val="00081F0F"/>
    <w:rsid w:val="000A38CD"/>
    <w:rsid w:val="001B1184"/>
    <w:rsid w:val="001D0F48"/>
    <w:rsid w:val="001F47F6"/>
    <w:rsid w:val="0020494B"/>
    <w:rsid w:val="002948FE"/>
    <w:rsid w:val="002C64A3"/>
    <w:rsid w:val="002E3C3F"/>
    <w:rsid w:val="002F4426"/>
    <w:rsid w:val="0031262A"/>
    <w:rsid w:val="003135DE"/>
    <w:rsid w:val="0037231E"/>
    <w:rsid w:val="003B3443"/>
    <w:rsid w:val="003F12A0"/>
    <w:rsid w:val="003F2D72"/>
    <w:rsid w:val="00432F11"/>
    <w:rsid w:val="00445F57"/>
    <w:rsid w:val="00450FEF"/>
    <w:rsid w:val="004A3E9C"/>
    <w:rsid w:val="004D3985"/>
    <w:rsid w:val="004F264B"/>
    <w:rsid w:val="005425EE"/>
    <w:rsid w:val="00551E26"/>
    <w:rsid w:val="00674F16"/>
    <w:rsid w:val="0070619E"/>
    <w:rsid w:val="00715BFD"/>
    <w:rsid w:val="007229FF"/>
    <w:rsid w:val="007309AE"/>
    <w:rsid w:val="00752DD8"/>
    <w:rsid w:val="00763A0E"/>
    <w:rsid w:val="007A561F"/>
    <w:rsid w:val="007F4023"/>
    <w:rsid w:val="00804563"/>
    <w:rsid w:val="00814F53"/>
    <w:rsid w:val="00890EEE"/>
    <w:rsid w:val="00891EC6"/>
    <w:rsid w:val="008A1C6E"/>
    <w:rsid w:val="008A3923"/>
    <w:rsid w:val="008F11E1"/>
    <w:rsid w:val="008F5045"/>
    <w:rsid w:val="0099211B"/>
    <w:rsid w:val="009B0956"/>
    <w:rsid w:val="009B0CD6"/>
    <w:rsid w:val="009C52DC"/>
    <w:rsid w:val="009F14A1"/>
    <w:rsid w:val="00A1202D"/>
    <w:rsid w:val="00A8085C"/>
    <w:rsid w:val="00AA4234"/>
    <w:rsid w:val="00AE14D8"/>
    <w:rsid w:val="00AF435C"/>
    <w:rsid w:val="00AF49F7"/>
    <w:rsid w:val="00B020A4"/>
    <w:rsid w:val="00B67291"/>
    <w:rsid w:val="00B676BC"/>
    <w:rsid w:val="00BB78E5"/>
    <w:rsid w:val="00BF6933"/>
    <w:rsid w:val="00C04C5C"/>
    <w:rsid w:val="00C17B89"/>
    <w:rsid w:val="00C2130F"/>
    <w:rsid w:val="00C26D75"/>
    <w:rsid w:val="00D22CF1"/>
    <w:rsid w:val="00D2498B"/>
    <w:rsid w:val="00D624AB"/>
    <w:rsid w:val="00DD0D36"/>
    <w:rsid w:val="00DE25C7"/>
    <w:rsid w:val="00E30F64"/>
    <w:rsid w:val="00E75339"/>
    <w:rsid w:val="00ED4CDD"/>
    <w:rsid w:val="00F158C0"/>
    <w:rsid w:val="00F17A87"/>
    <w:rsid w:val="00F17DD9"/>
    <w:rsid w:val="00FC5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4d77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5b9bd5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4d77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5b9bd5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5b9bd5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5b9bd5" w:themeColor="accent1" w:sz="4" w:space="4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5b9bd5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table" w:styleId="TableGrid">
    <w:name w:val="Table Grid"/>
    <w:basedOn w:val="NormalTable"/>
    <w:uiPriority w:val="39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Segoe UI" w:cs="Segoe UI" w:hAnsi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2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51E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1E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57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7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2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Сыроватская Анастасия Алексеевна</dc:creator>
  <cp:lastModifiedBy>Надежда</cp:lastModifiedBy>
</cp:coreProperties>
</file>