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ОТЧЕТ</w:t>
      </w:r>
    </w:p>
    <w:p>
      <w:pPr>
        <w:pStyle w:val="Normal"/>
        <w:spacing w:lineRule="auto" w:line="240" w:before="0" w:after="0"/>
        <w:jc w:val="center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о численности работающих и забронированных граждан, пребывающих в запасе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i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(пример заполнения)</w:t>
      </w:r>
    </w:p>
    <w:tbl>
      <w:tblPr>
        <w:tblW w:w="15300" w:type="dxa"/>
        <w:jc w:val="left"/>
        <w:tblInd w:w="-3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48"/>
        <w:gridCol w:w="2041"/>
        <w:gridCol w:w="424"/>
        <w:gridCol w:w="494"/>
        <w:gridCol w:w="496"/>
        <w:gridCol w:w="437"/>
        <w:gridCol w:w="1824"/>
        <w:gridCol w:w="1816"/>
        <w:gridCol w:w="1080"/>
        <w:gridCol w:w="1530"/>
        <w:gridCol w:w="1590"/>
        <w:gridCol w:w="1530"/>
        <w:gridCol w:w="1589"/>
      </w:tblGrid>
      <w:tr>
        <w:trPr>
          <w:trHeight w:val="1575" w:hRule="atLeast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№ </w:t>
            </w:r>
            <w:r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Полное наименование  организации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  <w:eastAsianLayout w:vert="true"/>
              </w:rPr>
              <w:t>ИНН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  <w:eastAsianLayout w:vert="true"/>
              </w:rPr>
              <w:t>КПП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  <w:eastAsianLayout w:vert="true"/>
              </w:rPr>
              <w:t>ОКАТО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  <w:eastAsianLayout w:vert="true"/>
              </w:rPr>
              <w:t>ОКОГУ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Вид основания для бронирования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Реквизиты основания для бронирования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Норма брони-рования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Численность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Военный комиссариат по месту нахождения  организации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Численность граждан, пребываю-щих в запасе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Численность заброниро-ванных граждан пребываю-щих в запасе</w:t>
            </w:r>
          </w:p>
        </w:tc>
      </w:tr>
      <w:tr>
        <w:trPr/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</w:p>
        </w:tc>
      </w:tr>
      <w:tr>
        <w:trPr/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Култукского городского поселения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Cs w:val="false"/>
                <w:eastAsianLayout w:vert="true"/>
              </w:rPr>
            </w:pPr>
            <w:r>
              <w:rPr>
                <w:rFonts w:ascii="Times New Roman" w:hAnsi="Times New Roman"/>
                <w:b w:val="false"/>
                <w:bCs w:val="false"/>
                <w:eastAsianLayout w:vert="true"/>
              </w:rPr>
              <w:t>3837003764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Cs w:val="false"/>
                <w:eastAsianLayout w:vert="true"/>
              </w:rPr>
            </w:pPr>
            <w:r>
              <w:rPr>
                <w:rFonts w:ascii="Times New Roman" w:hAnsi="Times New Roman"/>
                <w:b w:val="false"/>
                <w:bCs w:val="false"/>
                <w:eastAsianLayout w:vert="true"/>
              </w:rPr>
              <w:t>381001001 27.12.2005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Cs w:val="false"/>
                <w:eastAsianLayout w:vert="true"/>
              </w:rPr>
            </w:pPr>
            <w:r>
              <w:rPr>
                <w:rFonts w:ascii="Times New Roman" w:hAnsi="Times New Roman"/>
                <w:b w:val="false"/>
                <w:bCs w:val="false"/>
                <w:eastAsianLayout w:vert="true"/>
              </w:rPr>
              <w:t>25234562000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Cs w:val="false"/>
                <w:eastAsianLayout w:vert="true"/>
              </w:rPr>
            </w:pPr>
            <w:r>
              <w:rPr>
                <w:rFonts w:ascii="Times New Roman" w:hAnsi="Times New Roman"/>
                <w:b w:val="false"/>
                <w:bCs w:val="false"/>
                <w:eastAsianLayout w:vert="true"/>
              </w:rPr>
              <w:t>3300400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пп. «а» пункта 5 Методических рекомендаций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Решение Думы муниципального образования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«Култукское городское поселение»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от 09.12.2005г.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№</w:t>
            </w:r>
            <w:r>
              <w:rPr>
                <w:rFonts w:ascii="Times New Roman" w:hAnsi="Times New Roman"/>
                <w:color w:val="000000"/>
              </w:rPr>
              <w:t>17 - 1</w:t>
            </w:r>
            <w:r>
              <w:rPr>
                <w:rFonts w:ascii="Times New Roman" w:hAnsi="Times New Roman"/>
                <w:color w:val="000000"/>
                <w:lang w:val="en-US"/>
              </w:rPr>
              <w:t>/</w:t>
            </w:r>
            <w:r>
              <w:rPr>
                <w:rFonts w:ascii="Times New Roman" w:hAnsi="Times New Roman"/>
                <w:color w:val="000000"/>
                <w:lang w:val="ru-RU"/>
              </w:rPr>
              <w:t>Д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95%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Военный комиссариат Слюдянского района Иркутской области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>
        <w:trPr/>
        <w:tc>
          <w:tcPr>
            <w:tcW w:w="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казенное учреждение «Объединённая редакция телевидения, радио, газеты "Славное море"</w:t>
            </w:r>
          </w:p>
        </w:tc>
        <w:tc>
          <w:tcPr>
            <w:tcW w:w="4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Cs w:val="false"/>
                <w:eastAsianLayout w:vert="true"/>
              </w:rPr>
            </w:pPr>
            <w:r>
              <w:rPr>
                <w:rFonts w:ascii="Times New Roman" w:hAnsi="Times New Roman"/>
                <w:b w:val="false"/>
                <w:bCs w:val="false"/>
                <w:eastAsianLayout w:vert="true"/>
              </w:rPr>
              <w:t>3848006037</w:t>
            </w:r>
          </w:p>
        </w:tc>
        <w:tc>
          <w:tcPr>
            <w:tcW w:w="49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Cs w:val="false"/>
                <w:eastAsianLayout w:vert="true"/>
              </w:rPr>
            </w:pPr>
            <w:r>
              <w:rPr>
                <w:rFonts w:ascii="Times New Roman" w:hAnsi="Times New Roman"/>
                <w:b w:val="false"/>
                <w:bCs w:val="false"/>
                <w:eastAsianLayout w:vert="true"/>
              </w:rPr>
              <w:t>381001001 23.05.2012</w:t>
            </w:r>
          </w:p>
        </w:tc>
        <w:tc>
          <w:tcPr>
            <w:tcW w:w="4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Cs w:val="false"/>
                <w:eastAsianLayout w:vert="true"/>
              </w:rPr>
            </w:pPr>
            <w:r>
              <w:rPr>
                <w:rFonts w:ascii="Times New Roman" w:hAnsi="Times New Roman"/>
                <w:b w:val="false"/>
                <w:bCs w:val="false"/>
                <w:eastAsianLayout w:vert="true"/>
              </w:rPr>
              <w:t>25234501000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Cs w:val="false"/>
                <w:eastAsianLayout w:vert="true"/>
              </w:rPr>
            </w:pPr>
            <w:r>
              <w:rPr>
                <w:rFonts w:ascii="Times New Roman" w:hAnsi="Times New Roman"/>
                <w:b w:val="false"/>
                <w:bCs w:val="false"/>
                <w:eastAsianLayout w:vert="true"/>
              </w:rPr>
              <w:t>421007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мобилизацион-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ное задание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(пп. «б» пункта 5 Методических рекомендаций)</w:t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Постановление администрации Слюдянского муниципального района от 18 августа  2021 года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 xml:space="preserve">№ </w:t>
            </w:r>
            <w:r>
              <w:rPr>
                <w:rFonts w:ascii="Times New Roman" w:hAnsi="Times New Roman"/>
                <w:b w:val="false"/>
                <w:bCs w:val="false"/>
              </w:rPr>
              <w:t>М-7с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75%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Военный комиссариат Слюдянского района Иркутской области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-510" w:right="0"/>
        <w:jc w:val="left"/>
        <w:rPr/>
      </w:pPr>
      <w:r>
        <w:rPr>
          <w:rFonts w:ascii="Times New Roman" w:hAnsi="Times New Roman"/>
          <w:sz w:val="24"/>
          <w:szCs w:val="24"/>
          <w:u w:val="single"/>
        </w:rPr>
        <w:t>Примечание:</w:t>
      </w:r>
      <w:r>
        <w:rPr>
          <w:rFonts w:ascii="Times New Roman" w:hAnsi="Times New Roman"/>
          <w:sz w:val="24"/>
          <w:szCs w:val="24"/>
          <w:u w:val="none"/>
        </w:rPr>
        <w:t xml:space="preserve"> 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  <w:u w:val="none"/>
        </w:rPr>
        <w:t>Отчет представляетс</w:t>
      </w:r>
      <w:r>
        <w:rPr>
          <w:rFonts w:ascii="Times New Roman" w:hAnsi="Times New Roman"/>
          <w:sz w:val="24"/>
          <w:szCs w:val="24"/>
          <w:u w:val="none"/>
          <w:lang w:val="ru-RU"/>
        </w:rPr>
        <w:t>я в формате электронной таблицы на электронную почту администрации Слюдянского муниципального района</w:t>
      </w:r>
      <w:r>
        <w:rPr>
          <w:rFonts w:ascii="Times New Roman" w:hAnsi="Times New Roman"/>
          <w:sz w:val="24"/>
          <w:szCs w:val="24"/>
          <w:u w:val="none"/>
          <w:lang w:val="en-US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referent@sludyanka.ru</w:t>
      </w:r>
      <w:r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u w:val="none"/>
          <w:lang w:val="ru-RU"/>
        </w:rPr>
        <w:t>с пометкой «для мобилизационного отдела» в двух экземплярах: 1 экз. - в адрес, 2 экз. - в дело: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720"/>
        <w:jc w:val="both"/>
        <w:rPr/>
      </w:pPr>
      <w:r>
        <w:rPr>
          <w:rFonts w:ascii="Times New Roman" w:hAnsi="Times New Roman"/>
          <w:sz w:val="24"/>
          <w:szCs w:val="24"/>
          <w:u w:val="none"/>
          <w:lang w:val="ru-RU"/>
        </w:rPr>
        <w:t xml:space="preserve">1) за первое полугодие по состоянию на 30 июня отчетного периода — </w:t>
      </w:r>
      <w:r>
        <w:rPr>
          <w:rFonts w:ascii="Times New Roman" w:hAnsi="Times New Roman"/>
          <w:b/>
          <w:bCs/>
          <w:i/>
          <w:iCs/>
          <w:sz w:val="24"/>
          <w:szCs w:val="24"/>
          <w:u w:val="none"/>
          <w:lang w:val="ru-RU"/>
        </w:rPr>
        <w:t>до 15 июня отчетного года;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720"/>
        <w:jc w:val="both"/>
        <w:rPr>
          <w:b w:val="false"/>
          <w:bCs w:val="false"/>
          <w:i w:val="false"/>
          <w:i w:val="false"/>
          <w:iCs w:val="fals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u w:val="none"/>
          <w:lang w:val="ru-RU"/>
        </w:rPr>
        <w:t xml:space="preserve">2) ежегодно по состоянию на 31 декабря отчетного года — в составе годового доклада о состоянии работы по бронированию ГПЗ  </w:t>
      </w:r>
      <w:r>
        <w:rPr>
          <w:rFonts w:ascii="Times New Roman" w:hAnsi="Times New Roman"/>
          <w:b/>
          <w:bCs/>
          <w:i/>
          <w:iCs/>
          <w:sz w:val="24"/>
          <w:szCs w:val="24"/>
          <w:u w:val="none"/>
          <w:lang w:val="ru-RU"/>
        </w:rPr>
        <w:t>к 01 декабря отчетного года.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  <w:u w:val="none"/>
        </w:rPr>
        <w:t xml:space="preserve">В графе 2 указывается полное </w:t>
      </w:r>
      <w:r>
        <w:rPr>
          <w:rFonts w:ascii="Times New Roman" w:hAnsi="Times New Roman"/>
          <w:sz w:val="24"/>
          <w:szCs w:val="24"/>
          <w:u w:val="none"/>
        </w:rPr>
        <w:t>и сокращенное</w:t>
      </w:r>
      <w:r>
        <w:rPr>
          <w:rFonts w:ascii="Times New Roman" w:hAnsi="Times New Roman"/>
          <w:sz w:val="24"/>
          <w:szCs w:val="24"/>
          <w:u w:val="none"/>
        </w:rPr>
        <w:t xml:space="preserve"> наименование органа управления (организации).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  <w:u w:val="none"/>
        </w:rPr>
        <w:t xml:space="preserve">В графе 3 указывается идентификационный номер налогоплательщика </w:t>
      </w:r>
      <w:r>
        <w:rPr>
          <w:rFonts w:ascii="Times New Roman" w:hAnsi="Times New Roman"/>
          <w:sz w:val="24"/>
          <w:szCs w:val="24"/>
          <w:u w:val="none"/>
        </w:rPr>
        <w:t>(ИНН)</w:t>
      </w:r>
      <w:r>
        <w:rPr>
          <w:rFonts w:ascii="Times New Roman" w:hAnsi="Times New Roman"/>
          <w:sz w:val="24"/>
          <w:szCs w:val="24"/>
          <w:u w:val="none"/>
        </w:rPr>
        <w:t xml:space="preserve"> органа управления (организации).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  <w:u w:val="none"/>
        </w:rPr>
        <w:t xml:space="preserve">В графе 4 указывается код причины </w:t>
      </w:r>
      <w:r>
        <w:rPr>
          <w:rFonts w:ascii="Times New Roman" w:hAnsi="Times New Roman"/>
          <w:sz w:val="24"/>
          <w:szCs w:val="24"/>
          <w:u w:val="none"/>
        </w:rPr>
        <w:t>(КПП)</w:t>
      </w:r>
      <w:r>
        <w:rPr>
          <w:rFonts w:ascii="Times New Roman" w:hAnsi="Times New Roman"/>
          <w:sz w:val="24"/>
          <w:szCs w:val="24"/>
          <w:u w:val="none"/>
        </w:rPr>
        <w:t xml:space="preserve"> и дата постановки на учет органа управления (организации) в налоговом органе.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  <w:u w:val="none"/>
        </w:rPr>
        <w:t xml:space="preserve">В графе 5 указывается код органа управления (организации) по Общероссийскому классификатору объектов административно-территориального деления </w:t>
      </w:r>
      <w:r>
        <w:rPr>
          <w:rFonts w:ascii="Times New Roman" w:hAnsi="Times New Roman"/>
          <w:sz w:val="24"/>
          <w:szCs w:val="24"/>
          <w:u w:val="none"/>
        </w:rPr>
        <w:t>(ОКАТО)</w:t>
      </w:r>
      <w:r>
        <w:rPr>
          <w:rFonts w:ascii="Times New Roman" w:hAnsi="Times New Roman"/>
          <w:sz w:val="24"/>
          <w:szCs w:val="24"/>
          <w:u w:val="none"/>
        </w:rPr>
        <w:t>.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  <w:u w:val="none"/>
        </w:rPr>
        <w:t>В графе 6 указывается код органа управления (организации) по Общероссийскому классификатору органов государственной власти и управления (при наличии).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  <w:u w:val="none"/>
        </w:rPr>
        <w:t xml:space="preserve">В графе 7 указывается </w:t>
      </w:r>
      <w:r>
        <w:rPr>
          <w:rFonts w:ascii="Times New Roman" w:hAnsi="Times New Roman"/>
          <w:sz w:val="24"/>
          <w:szCs w:val="24"/>
          <w:u w:val="none"/>
        </w:rPr>
        <w:t>основание</w:t>
      </w:r>
      <w:r>
        <w:rPr>
          <w:rFonts w:ascii="Times New Roman" w:hAnsi="Times New Roman"/>
          <w:sz w:val="24"/>
          <w:szCs w:val="24"/>
          <w:u w:val="none"/>
        </w:rPr>
        <w:t xml:space="preserve"> </w:t>
      </w:r>
      <w:r>
        <w:rPr>
          <w:rFonts w:ascii="Times New Roman" w:hAnsi="Times New Roman"/>
          <w:sz w:val="24"/>
          <w:szCs w:val="24"/>
          <w:u w:val="none"/>
        </w:rPr>
        <w:t>(</w:t>
      </w:r>
      <w:r>
        <w:rPr>
          <w:rFonts w:ascii="Times New Roman" w:hAnsi="Times New Roman"/>
          <w:sz w:val="24"/>
          <w:szCs w:val="24"/>
          <w:u w:val="none"/>
        </w:rPr>
        <w:t xml:space="preserve">пункт 5 </w:t>
      </w:r>
      <w:r>
        <w:rPr>
          <w:rFonts w:cs="Times New Roman" w:ascii="Times New Roman" w:hAnsi="Times New Roman"/>
          <w:i w:val="false"/>
          <w:iCs w:val="false"/>
          <w:sz w:val="24"/>
          <w:szCs w:val="24"/>
          <w:u w:val="none"/>
        </w:rPr>
        <w:t>Методических рекомендаций по бронированию на период мобилизации и на военное время граждан Российской Федерации, пребывающих в запасе Вооруженных сил Российской Федерации, федеральных органов</w:t>
      </w:r>
      <w:r>
        <w:rPr>
          <w:rFonts w:cs="Times New Roman" w:ascii="Times New Roman" w:hAnsi="Times New Roman"/>
          <w:i/>
          <w:iCs/>
          <w:sz w:val="24"/>
          <w:szCs w:val="24"/>
          <w:u w:val="none"/>
        </w:rPr>
        <w:t xml:space="preserve"> </w:t>
      </w:r>
      <w:r>
        <w:rPr>
          <w:rFonts w:cs="Times New Roman" w:ascii="Times New Roman" w:hAnsi="Times New Roman"/>
          <w:i w:val="false"/>
          <w:iCs w:val="false"/>
          <w:sz w:val="24"/>
          <w:szCs w:val="24"/>
          <w:u w:val="none"/>
        </w:rPr>
        <w:t>исполнительной власти, имеющих запас, и работающих в органах государственной власти, органах местного самоуправления и организациях)</w:t>
      </w:r>
      <w:r>
        <w:rPr>
          <w:rStyle w:val="FootnoteReference"/>
          <w:rFonts w:cs="Times New Roman" w:ascii="Times New Roman" w:hAnsi="Times New Roman"/>
          <w:i w:val="false"/>
          <w:iCs w:val="false"/>
          <w:sz w:val="24"/>
          <w:szCs w:val="24"/>
          <w:u w:val="none"/>
        </w:rPr>
        <w:footnoteReference w:id="2"/>
      </w:r>
      <w:r>
        <w:rPr>
          <w:rFonts w:cs="Times New Roman" w:ascii="Times New Roman" w:hAnsi="Times New Roman"/>
          <w:i w:val="false"/>
          <w:iCs w:val="false"/>
          <w:sz w:val="24"/>
          <w:szCs w:val="24"/>
          <w:u w:val="none"/>
        </w:rPr>
        <w:t xml:space="preserve">, на основании которого орган управления (организация) осуществляет работу по бронированию </w:t>
      </w:r>
      <w:r>
        <w:rPr>
          <w:rFonts w:cs="Times New Roman" w:ascii="Times New Roman" w:hAnsi="Times New Roman"/>
          <w:i w:val="false"/>
          <w:iCs w:val="false"/>
          <w:sz w:val="24"/>
          <w:szCs w:val="24"/>
          <w:u w:val="none"/>
        </w:rPr>
        <w:t>ГПЗ</w:t>
      </w:r>
      <w:r>
        <w:rPr>
          <w:rFonts w:cs="Times New Roman" w:ascii="Times New Roman" w:hAnsi="Times New Roman"/>
          <w:i w:val="false"/>
          <w:iCs w:val="false"/>
          <w:sz w:val="24"/>
          <w:szCs w:val="24"/>
          <w:u w:val="none"/>
        </w:rPr>
        <w:t>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720"/>
        <w:jc w:val="both"/>
        <w:rPr/>
      </w:pPr>
      <w:r>
        <w:rPr>
          <w:rFonts w:cs="Times New Roman" w:ascii="Times New Roman" w:hAnsi="Times New Roman"/>
          <w:i w:val="false"/>
          <w:iCs w:val="false"/>
          <w:sz w:val="24"/>
          <w:szCs w:val="24"/>
          <w:u w:val="none"/>
        </w:rPr>
        <w:t xml:space="preserve">1) у органа управления </w:t>
      </w: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  <w:u w:val="none"/>
        </w:rPr>
        <w:t>указывается основание</w:t>
      </w:r>
      <w:r>
        <w:rPr>
          <w:rFonts w:cs="Times New Roman" w:ascii="Times New Roman" w:hAnsi="Times New Roman"/>
          <w:i w:val="false"/>
          <w:iCs w:val="false"/>
          <w:sz w:val="24"/>
          <w:szCs w:val="24"/>
          <w:u w:val="none"/>
        </w:rPr>
        <w:t xml:space="preserve"> - «пп «а» пункта 5 Методических рекомендаций»;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720"/>
        <w:jc w:val="both"/>
        <w:rPr/>
      </w:pPr>
      <w:r>
        <w:rPr>
          <w:rFonts w:cs="Times New Roman" w:ascii="Times New Roman" w:hAnsi="Times New Roman"/>
          <w:i w:val="false"/>
          <w:iCs w:val="false"/>
          <w:sz w:val="24"/>
          <w:szCs w:val="24"/>
          <w:u w:val="none"/>
        </w:rPr>
        <w:t>2) у организаций: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720"/>
        <w:jc w:val="both"/>
        <w:rPr/>
      </w:pPr>
      <w:r>
        <w:rPr>
          <w:rFonts w:cs="Times New Roman" w:ascii="Times New Roman" w:hAnsi="Times New Roman"/>
          <w:i w:val="false"/>
          <w:iCs w:val="false"/>
          <w:sz w:val="24"/>
          <w:szCs w:val="24"/>
          <w:u w:val="none"/>
        </w:rPr>
        <w:t xml:space="preserve">имеющих 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  <w:u w:val="none"/>
        </w:rPr>
        <w:t>мобилизационные задания</w:t>
      </w:r>
      <w:r>
        <w:rPr>
          <w:rFonts w:cs="Times New Roman" w:ascii="Times New Roman" w:hAnsi="Times New Roman"/>
          <w:i w:val="false"/>
          <w:iCs w:val="false"/>
          <w:sz w:val="24"/>
          <w:szCs w:val="24"/>
          <w:u w:val="none"/>
        </w:rPr>
        <w:t xml:space="preserve"> </w:t>
      </w: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  <w:u w:val="none"/>
        </w:rPr>
        <w:t>указывается основание</w:t>
      </w:r>
      <w:r>
        <w:rPr>
          <w:rFonts w:cs="Times New Roman" w:ascii="Times New Roman" w:hAnsi="Times New Roman"/>
          <w:i w:val="false"/>
          <w:iCs w:val="false"/>
          <w:sz w:val="24"/>
          <w:szCs w:val="24"/>
          <w:u w:val="none"/>
        </w:rPr>
        <w:t xml:space="preserve"> — мобилизационное задание (пп «б» пункта 5 Методических рекомендаций);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720"/>
        <w:jc w:val="both"/>
        <w:rPr/>
      </w:pPr>
      <w:r>
        <w:rPr>
          <w:rFonts w:cs="Times New Roman" w:ascii="Times New Roman" w:hAnsi="Times New Roman"/>
          <w:i w:val="false"/>
          <w:iCs w:val="false"/>
          <w:sz w:val="24"/>
          <w:szCs w:val="24"/>
          <w:u w:val="none"/>
        </w:rPr>
        <w:t xml:space="preserve">имеющих 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  <w:u w:val="none"/>
        </w:rPr>
        <w:t>задачу по мобилизационной работе</w:t>
      </w:r>
      <w:r>
        <w:rPr>
          <w:rFonts w:cs="Times New Roman" w:ascii="Times New Roman" w:hAnsi="Times New Roman"/>
          <w:i w:val="false"/>
          <w:iCs w:val="false"/>
          <w:sz w:val="24"/>
          <w:szCs w:val="24"/>
          <w:u w:val="none"/>
        </w:rPr>
        <w:t xml:space="preserve"> </w:t>
      </w: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  <w:u w:val="none"/>
        </w:rPr>
        <w:t>указывается основание</w:t>
      </w:r>
      <w:r>
        <w:rPr>
          <w:rFonts w:cs="Times New Roman" w:ascii="Times New Roman" w:hAnsi="Times New Roman"/>
          <w:i w:val="false"/>
          <w:iCs w:val="false"/>
          <w:sz w:val="24"/>
          <w:szCs w:val="24"/>
          <w:u w:val="none"/>
        </w:rPr>
        <w:t xml:space="preserve"> — задача по мобилизационной работе (пп «б» пункта 5 Методических рекомендаций).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/>
      </w:pPr>
      <w:r>
        <w:rPr>
          <w:rFonts w:cs="Times New Roman" w:ascii="Times New Roman" w:hAnsi="Times New Roman"/>
          <w:i w:val="false"/>
          <w:iCs w:val="false"/>
          <w:sz w:val="24"/>
          <w:szCs w:val="24"/>
          <w:u w:val="none"/>
        </w:rPr>
        <w:t>В графе 8 указываются: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397" w:right="0"/>
        <w:jc w:val="both"/>
        <w:rPr/>
      </w:pPr>
      <w:r>
        <w:rPr>
          <w:rFonts w:cs="Times New Roman" w:ascii="Times New Roman" w:hAnsi="Times New Roman"/>
          <w:i w:val="false"/>
          <w:iCs w:val="false"/>
          <w:sz w:val="24"/>
          <w:szCs w:val="24"/>
          <w:u w:val="none"/>
        </w:rPr>
        <w:t xml:space="preserve">- для органов управления - </w:t>
      </w:r>
      <w:r>
        <w:rPr>
          <w:rFonts w:cs="Times New Roman" w:ascii="Times New Roman" w:hAnsi="Times New Roman"/>
          <w:i w:val="false"/>
          <w:iCs w:val="false"/>
          <w:sz w:val="24"/>
          <w:szCs w:val="24"/>
          <w:u w:val="none"/>
        </w:rPr>
        <w:t xml:space="preserve">наименование, </w:t>
      </w:r>
      <w:r>
        <w:rPr>
          <w:rFonts w:cs="Times New Roman" w:ascii="Times New Roman" w:hAnsi="Times New Roman"/>
          <w:i w:val="false"/>
          <w:iCs w:val="false"/>
          <w:sz w:val="24"/>
          <w:szCs w:val="24"/>
          <w:u w:val="none"/>
        </w:rPr>
        <w:t>реквизиты нормативн</w:t>
      </w:r>
      <w:r>
        <w:rPr>
          <w:rFonts w:cs="Times New Roman" w:ascii="Times New Roman" w:hAnsi="Times New Roman"/>
          <w:i w:val="false"/>
          <w:iCs w:val="false"/>
          <w:sz w:val="24"/>
          <w:szCs w:val="24"/>
          <w:u w:val="none"/>
        </w:rPr>
        <w:t>о -</w:t>
      </w:r>
      <w:r>
        <w:rPr>
          <w:rFonts w:cs="Times New Roman" w:ascii="Times New Roman" w:hAnsi="Times New Roman"/>
          <w:i w:val="false"/>
          <w:iCs w:val="false"/>
          <w:sz w:val="24"/>
          <w:szCs w:val="24"/>
          <w:u w:val="none"/>
        </w:rPr>
        <w:t xml:space="preserve"> правов</w:t>
      </w:r>
      <w:r>
        <w:rPr>
          <w:rFonts w:cs="Times New Roman" w:ascii="Times New Roman" w:hAnsi="Times New Roman"/>
          <w:i w:val="false"/>
          <w:iCs w:val="false"/>
          <w:sz w:val="24"/>
          <w:szCs w:val="24"/>
          <w:u w:val="none"/>
        </w:rPr>
        <w:t>ого</w:t>
      </w:r>
      <w:r>
        <w:rPr>
          <w:rFonts w:cs="Times New Roman" w:ascii="Times New Roman" w:hAnsi="Times New Roman"/>
          <w:i w:val="false"/>
          <w:iCs w:val="false"/>
          <w:sz w:val="24"/>
          <w:szCs w:val="24"/>
          <w:u w:val="none"/>
        </w:rPr>
        <w:t xml:space="preserve"> акт</w:t>
      </w:r>
      <w:r>
        <w:rPr>
          <w:rFonts w:cs="Times New Roman" w:ascii="Times New Roman" w:hAnsi="Times New Roman"/>
          <w:i w:val="false"/>
          <w:iCs w:val="false"/>
          <w:sz w:val="24"/>
          <w:szCs w:val="24"/>
          <w:u w:val="none"/>
        </w:rPr>
        <w:t>а</w:t>
      </w:r>
      <w:r>
        <w:rPr>
          <w:rFonts w:cs="Times New Roman" w:ascii="Times New Roman" w:hAnsi="Times New Roman"/>
          <w:i w:val="false"/>
          <w:iCs w:val="false"/>
          <w:sz w:val="24"/>
          <w:szCs w:val="24"/>
          <w:u w:val="none"/>
        </w:rPr>
        <w:t xml:space="preserve"> об их образовании, </w:t>
      </w:r>
      <w:r>
        <w:rPr>
          <w:rFonts w:cs="Times New Roman" w:ascii="Times New Roman" w:hAnsi="Times New Roman"/>
          <w:i w:val="false"/>
          <w:iCs w:val="false"/>
          <w:sz w:val="24"/>
          <w:szCs w:val="24"/>
          <w:u w:val="none"/>
        </w:rPr>
        <w:t>создании</w:t>
      </w:r>
      <w:r>
        <w:rPr>
          <w:rFonts w:cs="Times New Roman" w:ascii="Times New Roman" w:hAnsi="Times New Roman"/>
          <w:i w:val="false"/>
          <w:iCs w:val="false"/>
          <w:sz w:val="24"/>
          <w:szCs w:val="24"/>
          <w:u w:val="none"/>
        </w:rPr>
        <w:t>;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397" w:right="0"/>
        <w:jc w:val="both"/>
        <w:rPr/>
      </w:pPr>
      <w:r>
        <w:rPr>
          <w:rFonts w:cs="Times New Roman" w:ascii="Times New Roman" w:hAnsi="Times New Roman"/>
          <w:i w:val="false"/>
          <w:iCs w:val="false"/>
          <w:sz w:val="24"/>
          <w:szCs w:val="24"/>
          <w:u w:val="none"/>
        </w:rPr>
        <w:t xml:space="preserve">- для организаций - </w:t>
      </w:r>
      <w:r>
        <w:rPr>
          <w:rFonts w:cs="Times New Roman" w:ascii="Times New Roman" w:hAnsi="Times New Roman"/>
          <w:i w:val="false"/>
          <w:iCs w:val="false"/>
          <w:sz w:val="24"/>
          <w:szCs w:val="24"/>
          <w:u w:val="none"/>
        </w:rPr>
        <w:t xml:space="preserve">наименование, </w:t>
      </w:r>
      <w:r>
        <w:rPr>
          <w:rFonts w:cs="Times New Roman" w:ascii="Times New Roman" w:hAnsi="Times New Roman"/>
          <w:i w:val="false"/>
          <w:iCs w:val="false"/>
          <w:sz w:val="24"/>
          <w:szCs w:val="24"/>
          <w:u w:val="none"/>
        </w:rPr>
        <w:t xml:space="preserve">реквизиты акта администрации Слюдянского муниципального района, на основании которого организациям установлены мобилизационные задания </w:t>
      </w:r>
      <w:r>
        <w:rPr>
          <w:rFonts w:cs="Times New Roman" w:ascii="Times New Roman" w:hAnsi="Times New Roman"/>
          <w:i w:val="false"/>
          <w:iCs w:val="false"/>
          <w:sz w:val="24"/>
          <w:szCs w:val="24"/>
          <w:u w:val="none"/>
        </w:rPr>
        <w:t xml:space="preserve">или </w:t>
      </w:r>
      <w:r>
        <w:rPr>
          <w:rFonts w:cs="Times New Roman" w:ascii="Times New Roman" w:hAnsi="Times New Roman"/>
          <w:i w:val="false"/>
          <w:iCs w:val="false"/>
          <w:sz w:val="24"/>
          <w:szCs w:val="24"/>
          <w:u w:val="none"/>
        </w:rPr>
        <w:t>задачи по мобилизационной работе.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/>
      </w:pPr>
      <w:r>
        <w:rPr>
          <w:rFonts w:cs="Times New Roman" w:ascii="Times New Roman" w:hAnsi="Times New Roman"/>
          <w:i w:val="false"/>
          <w:iCs w:val="false"/>
          <w:sz w:val="24"/>
          <w:szCs w:val="24"/>
          <w:u w:val="none"/>
        </w:rPr>
        <w:t>В графе 9 указывается норма бронирования, определенная в соответствии с пунктом 17 Методических рекомендаций.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/>
      </w:pPr>
      <w:r>
        <w:rPr>
          <w:rFonts w:cs="Times New Roman" w:ascii="Times New Roman" w:hAnsi="Times New Roman"/>
          <w:i w:val="false"/>
          <w:iCs w:val="false"/>
          <w:sz w:val="24"/>
          <w:szCs w:val="24"/>
          <w:u w:val="none"/>
        </w:rPr>
        <w:t>В графе 10 указывается численность, определяемая в соответствии с пунктами 18, 20 Методических рекомендаций.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/>
      </w:pPr>
      <w:r>
        <w:rPr>
          <w:rFonts w:cs="Times New Roman" w:ascii="Times New Roman" w:hAnsi="Times New Roman"/>
          <w:i w:val="false"/>
          <w:iCs w:val="false"/>
          <w:sz w:val="24"/>
          <w:szCs w:val="24"/>
          <w:u w:val="none"/>
        </w:rPr>
        <w:t>В графе 11 указывается наименование военного комиссариата по месту нахождения органа управления (организации).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/>
      </w:pPr>
      <w:r>
        <w:rPr>
          <w:rFonts w:cs="Times New Roman" w:ascii="Times New Roman" w:hAnsi="Times New Roman"/>
          <w:i w:val="false"/>
          <w:iCs w:val="false"/>
          <w:sz w:val="24"/>
          <w:szCs w:val="24"/>
          <w:u w:val="none"/>
        </w:rPr>
        <w:t>В графе 12 указывается численность граждан, пребывающих в запасе.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/>
      </w:pPr>
      <w:r>
        <w:rPr>
          <w:rFonts w:cs="Times New Roman" w:ascii="Times New Roman" w:hAnsi="Times New Roman"/>
          <w:i w:val="false"/>
          <w:iCs w:val="false"/>
          <w:sz w:val="24"/>
          <w:szCs w:val="24"/>
          <w:u w:val="none"/>
        </w:rPr>
        <w:t>В графе 13 указывается численность забронированных граждан, пребывающих в запасе.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/>
      </w:pPr>
      <w:r>
        <w:rPr>
          <w:rFonts w:cs="Times New Roman" w:ascii="Times New Roman" w:hAnsi="Times New Roman"/>
          <w:i w:val="false"/>
          <w:iCs w:val="false"/>
          <w:sz w:val="24"/>
          <w:szCs w:val="24"/>
          <w:u w:val="none"/>
        </w:rPr>
        <w:t xml:space="preserve">Отчет подписывается руководителем </w:t>
      </w:r>
      <w:r>
        <w:rPr>
          <w:rFonts w:cs="Times New Roman" w:ascii="Times New Roman" w:hAnsi="Times New Roman"/>
          <w:i w:val="false"/>
          <w:iCs w:val="false"/>
          <w:sz w:val="24"/>
          <w:szCs w:val="24"/>
          <w:u w:val="none"/>
        </w:rPr>
        <w:t>(заместителем)</w:t>
      </w:r>
      <w:r>
        <w:rPr>
          <w:rFonts w:cs="Times New Roman" w:ascii="Times New Roman" w:hAnsi="Times New Roman"/>
          <w:i w:val="false"/>
          <w:iCs w:val="false"/>
          <w:sz w:val="24"/>
          <w:szCs w:val="24"/>
          <w:u w:val="none"/>
        </w:rPr>
        <w:t xml:space="preserve"> </w:t>
      </w:r>
      <w:r>
        <w:rPr>
          <w:rFonts w:cs="Times New Roman" w:ascii="Times New Roman" w:hAnsi="Times New Roman"/>
          <w:i w:val="false"/>
          <w:iCs w:val="false"/>
          <w:sz w:val="24"/>
          <w:szCs w:val="24"/>
          <w:u w:val="none"/>
        </w:rPr>
        <w:t xml:space="preserve">органа управления или организации </w:t>
      </w:r>
      <w:r>
        <w:rPr>
          <w:rFonts w:cs="Times New Roman" w:ascii="Times New Roman" w:hAnsi="Times New Roman"/>
          <w:i w:val="false"/>
          <w:iCs w:val="false"/>
          <w:sz w:val="24"/>
          <w:szCs w:val="24"/>
          <w:u w:val="none"/>
        </w:rPr>
        <w:t>и заверяется печатью с указанием даты.</w:t>
      </w:r>
    </w:p>
    <w:sectPr>
      <w:headerReference w:type="default" r:id="rId2"/>
      <w:footerReference w:type="default" r:id="rId3"/>
      <w:footerReference w:type="first" r:id="rId4"/>
      <w:footnotePr>
        <w:numFmt w:val="decimal"/>
      </w:footnotePr>
      <w:type w:val="nextPage"/>
      <w:pgSz w:orient="landscape" w:w="16838" w:h="11906"/>
      <w:pgMar w:left="1361" w:right="1134" w:gutter="0" w:header="709" w:top="851" w:footer="709" w:bottom="851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rPr>
        <w:rFonts w:ascii="Times New Roman" w:hAnsi="Times New Roman"/>
      </w:rPr>
    </w:pPr>
    <w:r>
      <w:rPr>
        <w:rFonts w:ascii="Times New Roman" w:hAnsi="Times New Roman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rPr>
        <w:rFonts w:ascii="Times New Roman" w:hAnsi="Times New Roman"/>
      </w:rPr>
    </w:pPr>
    <w:r>
      <w:rPr>
        <w:rFonts w:ascii="Times New Roman" w:hAnsi="Times New Roman"/>
      </w:rPr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spacing w:before="0" w:after="200"/>
        <w:rPr>
          <w:rFonts w:ascii="Times New Roman" w:hAnsi="Times New Roman" w:cs="Times New Roman"/>
        </w:rPr>
      </w:pPr>
      <w:r>
        <w:rPr>
          <w:rStyle w:val="Style17"/>
        </w:rPr>
        <w:footnoteRef/>
      </w:r>
      <w:r>
        <w:rPr>
          <w:rFonts w:cs="Times New Roman" w:ascii="Times New Roman" w:hAnsi="Times New Roman"/>
        </w:rPr>
        <w:tab/>
        <w:t xml:space="preserve"> </w:t>
      </w:r>
      <w:r>
        <w:rPr>
          <w:rFonts w:cs="Times New Roman" w:ascii="Times New Roman" w:hAnsi="Times New Roman"/>
        </w:rPr>
        <w:t xml:space="preserve">Далее – Методические рекомендации 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68410126"/>
    </w:sdtPr>
    <w:sdtContent>
      <w:p>
        <w:pPr>
          <w:pStyle w:val="Header"/>
          <w:jc w:val="center"/>
          <w:rPr/>
        </w:pPr>
        <w:bookmarkStart w:id="1" w:name="PageNumWizard_HEADER_Базовый2"/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  <w:bookmarkEnd w:id="1"/>
      </w:p>
    </w:sdtContent>
  </w:sdt>
  <w:p>
    <w:pPr>
      <w:pStyle w:val="Header"/>
      <w:spacing w:before="0" w:after="20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352d3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9"/>
    <w:qFormat/>
    <w:rsid w:val="001c0ca7"/>
    <w:pPr>
      <w:keepNext w:val="true"/>
      <w:keepLines/>
      <w:spacing w:before="480" w:after="0"/>
      <w:outlineLvl w:val="0"/>
    </w:pPr>
    <w:rPr>
      <w:rFonts w:ascii="Cambria" w:hAnsi="Cambria" w:eastAsia="Times New Roman"/>
      <w:b/>
      <w:bCs/>
      <w:color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uiPriority w:val="99"/>
    <w:qFormat/>
    <w:locked/>
    <w:rsid w:val="001c0ca7"/>
    <w:rPr>
      <w:rFonts w:ascii="Cambria" w:hAnsi="Cambria" w:cs="Times New Roman"/>
      <w:b/>
      <w:bCs/>
      <w:color w:val="365F91"/>
      <w:sz w:val="28"/>
      <w:szCs w:val="28"/>
    </w:rPr>
  </w:style>
  <w:style w:type="character" w:styleId="Style13" w:customStyle="1">
    <w:name w:val="Верхний колонтитул Знак"/>
    <w:uiPriority w:val="99"/>
    <w:qFormat/>
    <w:locked/>
    <w:rsid w:val="00111f7b"/>
    <w:rPr>
      <w:rFonts w:cs="Times New Roman"/>
      <w:lang w:eastAsia="en-US"/>
    </w:rPr>
  </w:style>
  <w:style w:type="character" w:styleId="Style14" w:customStyle="1">
    <w:name w:val="Нижний колонтитул Знак"/>
    <w:uiPriority w:val="99"/>
    <w:qFormat/>
    <w:locked/>
    <w:rsid w:val="00111f7b"/>
    <w:rPr>
      <w:rFonts w:cs="Times New Roman"/>
      <w:lang w:eastAsia="en-US"/>
    </w:rPr>
  </w:style>
  <w:style w:type="character" w:styleId="Style15" w:customStyle="1">
    <w:name w:val="Текст выноски Знак"/>
    <w:link w:val="BalloonText"/>
    <w:uiPriority w:val="99"/>
    <w:semiHidden/>
    <w:qFormat/>
    <w:rsid w:val="00d7261e"/>
    <w:rPr>
      <w:rFonts w:ascii="Tahoma" w:hAnsi="Tahoma" w:cs="Tahoma"/>
      <w:sz w:val="16"/>
      <w:szCs w:val="16"/>
      <w:lang w:eastAsia="en-US"/>
    </w:rPr>
  </w:style>
  <w:style w:type="character" w:styleId="Style16">
    <w:name w:val="Символ нумерации"/>
    <w:qFormat/>
    <w:rPr>
      <w:rFonts w:ascii="Times New Roman" w:hAnsi="Times New Roman"/>
    </w:rPr>
  </w:style>
  <w:style w:type="character" w:styleId="Style17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8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Style21">
    <w:name w:val="Колонтитул"/>
    <w:basedOn w:val="Normal"/>
    <w:qFormat/>
    <w:pPr/>
    <w:rPr/>
  </w:style>
  <w:style w:type="paragraph" w:styleId="Header">
    <w:name w:val="Header"/>
    <w:basedOn w:val="Normal"/>
    <w:link w:val="Style13"/>
    <w:uiPriority w:val="99"/>
    <w:rsid w:val="00c17e9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4"/>
    <w:uiPriority w:val="99"/>
    <w:rsid w:val="00c17e9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d7261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paragraph" w:styleId="FootnoteText">
    <w:name w:val="Footnote Text"/>
    <w:basedOn w:val="Normal"/>
    <w:pPr>
      <w:suppressLineNumbers/>
      <w:ind w:hanging="340" w:left="340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99"/>
    <w:rsid w:val="00b469d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95666-6FAF-4D83-AF1F-1E05AA2DE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1392</TotalTime>
  <Application>LibreOffice/7.6.6.3$Windows_X86_64 LibreOffice_project/d97b2716a9a4a2ce1391dee1765565ea469b0ae7</Application>
  <AppVersion>15.0000</AppVersion>
  <Pages>2</Pages>
  <Words>531</Words>
  <Characters>3573</Characters>
  <CharactersWithSpaces>5209</CharactersWithSpaces>
  <Paragraphs>89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2023-03-14T00:42:00Z</dcterms:created>
  <dc:creator>User</dc:creator>
  <dc:description/>
  <dc:language>ru-RU</dc:language>
  <cp:lastModifiedBy/>
  <cp:lastPrinted>2025-09-10T09:40:06Z</cp:lastPrinted>
  <dcterms:modified xsi:type="dcterms:W3CDTF">2026-06-23T15:32:02Z</dcterms:modified>
  <cp:revision>125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