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6">
      <w:pPr>
        <w:widowControl w:val="on"/>
        <w:shd w:val="clear" w:color="auto" w:fill="ffffff"/>
        <w:rPr>
          <w:rFonts w:cs="Times New Roman" w:eastAsia="Times New Roman"/>
          <w:color w:val="auto"/>
          <w:lang w:val="ru-RU" w:bidi="ar-SA" w:eastAsia="ru-RU"/>
        </w:rPr>
      </w:pPr>
      <w:r>
        <w:rPr>
          <w:rFonts w:cs="Times New Roman" w:eastAsia="Times New Roman"/>
          <w:color w:val="auto"/>
          <w:lang w:val="ru-RU" w:bidi="ar-SA" w:eastAsia="ru-RU"/>
        </w:rPr>
        <w:t xml:space="preserve">  </w:t>
      </w:r>
    </w:p>
    <w:p w14:paraId="00000007">
      <w:pPr>
        <w:pStyle w:val="NoSpacing"/>
        <w:jc w:val="center"/>
        <w:rPr>
          <w:rFonts w:ascii="Times New Roman" w:cs="Calibri" w:eastAsia="Times New Roman" w:hAnsi="Times New Roman"/>
          <w:sz w:val="24"/>
          <w:szCs w:val="24"/>
        </w:rPr>
      </w:pPr>
      <w:r>
        <w:rPr>
          <w:rFonts w:ascii="Times New Roman" w:cs="Calibri" w:eastAsia="Times New Roman" w:hAnsi="Times New Roman"/>
          <w:sz w:val="24"/>
          <w:szCs w:val="24"/>
        </w:rPr>
        <w:t>от 04.10.</w:t>
      </w:r>
      <w:r>
        <w:rPr>
          <w:rFonts w:ascii="Times New Roman" w:cs="Calibri" w:eastAsia="Times New Roman" w:hAnsi="Times New Roman"/>
          <w:sz w:val="24"/>
          <w:szCs w:val="24"/>
        </w:rPr>
        <w:t>202</w:t>
      </w:r>
      <w:r>
        <w:rPr>
          <w:rFonts w:ascii="Times New Roman" w:cs="Calibri" w:eastAsia="Times New Roman" w:hAnsi="Times New Roman"/>
          <w:sz w:val="24"/>
          <w:szCs w:val="24"/>
        </w:rPr>
        <w:t>4</w:t>
      </w:r>
      <w:r>
        <w:rPr>
          <w:rFonts w:ascii="Times New Roman" w:cs="Calibri" w:eastAsia="Times New Roman" w:hAnsi="Times New Roman"/>
          <w:sz w:val="24"/>
          <w:szCs w:val="24"/>
        </w:rPr>
        <w:t>Г. №</w:t>
      </w:r>
      <w:r>
        <w:rPr>
          <w:rFonts w:ascii="Times New Roman" w:cs="Calibri" w:eastAsia="Times New Roman" w:hAnsi="Times New Roman"/>
          <w:sz w:val="24"/>
          <w:szCs w:val="24"/>
        </w:rPr>
        <w:t xml:space="preserve"> 43</w:t>
      </w:r>
    </w:p>
    <w:p w14:paraId="00000008">
      <w:pPr>
        <w:pStyle w:val="NoSpacing"/>
        <w:jc w:val="center"/>
        <w:rPr>
          <w:rFonts w:ascii="Times New Roman" w:cs="Calibri" w:eastAsia="Times New Roman" w:hAnsi="Times New Roman"/>
          <w:sz w:val="24"/>
          <w:szCs w:val="24"/>
        </w:rPr>
      </w:pPr>
      <w:r>
        <w:rPr>
          <w:rFonts w:ascii="Times New Roman" w:cs="Calibri" w:eastAsia="Times New Roman" w:hAnsi="Times New Roman"/>
          <w:sz w:val="24"/>
          <w:szCs w:val="24"/>
        </w:rPr>
        <w:t>РОССИЙСКАЯ ФЕДЕРАЦИЯ</w:t>
      </w:r>
    </w:p>
    <w:p w14:paraId="00000009">
      <w:pPr>
        <w:pStyle w:val="NoSpacing"/>
        <w:jc w:val="center"/>
        <w:rPr>
          <w:rFonts w:ascii="Times New Roman" w:cs="Calibri" w:eastAsia="Times New Roman" w:hAnsi="Times New Roman"/>
          <w:sz w:val="24"/>
          <w:szCs w:val="24"/>
        </w:rPr>
      </w:pPr>
      <w:r>
        <w:rPr>
          <w:rFonts w:ascii="Times New Roman" w:cs="Calibri" w:eastAsia="Times New Roman" w:hAnsi="Times New Roman"/>
          <w:sz w:val="24"/>
          <w:szCs w:val="24"/>
        </w:rPr>
        <w:t>ИРКУТСКАЯ ОБЛАСТЬ</w:t>
      </w:r>
    </w:p>
    <w:p w14:paraId="0000000A">
      <w:pPr>
        <w:pStyle w:val="NoSpacing"/>
        <w:jc w:val="center"/>
        <w:rPr>
          <w:rFonts w:ascii="Times New Roman" w:cs="Calibri" w:eastAsia="Times New Roman" w:hAnsi="Times New Roman"/>
          <w:sz w:val="24"/>
          <w:szCs w:val="24"/>
        </w:rPr>
      </w:pPr>
      <w:r>
        <w:rPr>
          <w:rFonts w:ascii="Times New Roman" w:cs="Calibri" w:eastAsia="Times New Roman" w:hAnsi="Times New Roman"/>
          <w:sz w:val="24"/>
          <w:szCs w:val="24"/>
        </w:rPr>
        <w:t xml:space="preserve">АДМИНИСТРАЦИЯ </w:t>
      </w:r>
      <w:r>
        <w:rPr>
          <w:rFonts w:ascii="Times New Roman" w:cs="Calibri" w:eastAsia="Times New Roman" w:hAnsi="Times New Roman"/>
          <w:sz w:val="24"/>
          <w:szCs w:val="24"/>
        </w:rPr>
        <w:t>ПОРТБАЙКАЛЬСКОГО</w:t>
      </w:r>
      <w:r>
        <w:rPr>
          <w:rFonts w:ascii="Times New Roman" w:cs="Calibri" w:eastAsia="Times New Roman" w:hAnsi="Times New Roman"/>
          <w:sz w:val="24"/>
          <w:szCs w:val="24"/>
        </w:rPr>
        <w:t xml:space="preserve"> СЕЛЬСКОГО ПОСЕЛЕНИЯ</w:t>
      </w:r>
    </w:p>
    <w:p w14:paraId="0000000B">
      <w:pPr>
        <w:pStyle w:val="NoSpacing"/>
        <w:jc w:val="center"/>
        <w:rPr>
          <w:rFonts w:ascii="Times New Roman" w:cs="Calibri" w:eastAsia="Times New Roman" w:hAnsi="Times New Roman"/>
          <w:sz w:val="24"/>
          <w:szCs w:val="24"/>
        </w:rPr>
      </w:pPr>
      <w:r>
        <w:rPr>
          <w:rFonts w:ascii="Times New Roman" w:cs="Calibri" w:eastAsia="Times New Roman" w:hAnsi="Times New Roman"/>
          <w:sz w:val="24"/>
          <w:szCs w:val="24"/>
        </w:rPr>
        <w:t>ПОСТАНОВЛЕНИЕ</w:t>
      </w:r>
    </w:p>
    <w:p w14:paraId="0000000C">
      <w:pPr>
        <w:widowControl w:val="on"/>
        <w:shd w:val="clear" w:color="auto" w:fill="ffffff"/>
        <w:rPr>
          <w:rFonts w:cs="Times New Roman" w:eastAsia="Times New Roman"/>
          <w:b/>
          <w:color w:val="auto"/>
          <w:lang w:val="ru-RU" w:bidi="ar-SA" w:eastAsia="ru-RU"/>
        </w:rPr>
      </w:pPr>
      <w:r>
        <w:rPr>
          <w:rFonts w:cs="Times New Roman" w:eastAsia="Times New Roman"/>
          <w:b/>
          <w:color w:val="auto"/>
          <w:lang w:val="ru-RU" w:bidi="ar-SA" w:eastAsia="ru-RU"/>
        </w:rPr>
        <w:t xml:space="preserve"> </w:t>
      </w:r>
    </w:p>
    <w:p w14:paraId="0000000D">
      <w:pPr>
        <w:widowControl w:val="on"/>
        <w:shd w:val="clear" w:color="auto" w:fill="ffffff"/>
        <w:tabs>
          <w:tab w:val="left" w:pos="7797"/>
        </w:tabs>
        <w:ind w:left="540"/>
        <w:rPr>
          <w:rFonts w:cs="Times New Roman" w:eastAsia="Times New Roman"/>
          <w:b/>
          <w:color w:val="auto"/>
          <w:lang w:val="ru-RU" w:bidi="ar-SA" w:eastAsia="ru-RU"/>
        </w:rPr>
      </w:pPr>
    </w:p>
    <w:tbl>
      <w:tblPr>
        <w:tblW w:w="0" w:type="auto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/>
      </w:tblPr>
      <w:tblGrid>
        <w:gridCol w:w="10429"/>
      </w:tblGrid>
      <w:tr>
        <w:trPr/>
        <w:tc>
          <w:tcPr>
            <w:cnfStyle w:val="101000000000"/>
            <w:tcW w:w="14421" w:type="dxa"/>
            <w:tcBorders>
              <w:top w:val="nil" w:sz="4" w:space="0"/>
              <w:left w:val="nil" w:sz="4" w:space="0"/>
              <w:bottom w:val="nil" w:sz="4" w:space="0"/>
              <w:right w:val="nil" w:sz="4" w:space="0"/>
            </w:tcBorders>
          </w:tcPr>
          <w:p w14:paraId="0000000E">
            <w:pPr>
              <w:widowControl w:val="on"/>
              <w:shd w:val="clear" w:color="auto" w:fill="ffffff"/>
              <w:ind w:left="-4"/>
              <w:jc w:val="both"/>
              <w:rPr>
                <w:rFonts w:cs="Times New Roman" w:eastAsia="Times New Roman"/>
                <w:b/>
                <w:color w:val="auto"/>
                <w:lang w:val="ru-RU" w:bidi="ar-SA" w:eastAsia="ru-RU"/>
              </w:rPr>
            </w:pPr>
            <w:r>
              <w:rPr>
                <w:rFonts w:cs="Times New Roman" w:eastAsia="Times New Roman"/>
                <w:b/>
                <w:color w:val="auto"/>
                <w:lang w:val="ru-RU" w:bidi="ar-SA" w:eastAsia="ru-RU"/>
              </w:rPr>
              <w:t>Об утверждении Перечня</w:t>
            </w:r>
            <w:r>
              <w:rPr>
                <w:rFonts w:cs="Times New Roman" w:eastAsia="Times New Roman"/>
                <w:b/>
                <w:color w:val="auto"/>
                <w:lang w:val="ru-RU" w:bidi="ar-SA" w:eastAsia="ru-RU"/>
              </w:rPr>
              <w:t xml:space="preserve"> </w:t>
            </w:r>
          </w:p>
          <w:p w14:paraId="0000000F">
            <w:pPr>
              <w:widowControl w:val="on"/>
              <w:shd w:val="clear" w:color="auto" w:fill="ffffff"/>
              <w:ind w:left="-4"/>
              <w:jc w:val="both"/>
              <w:rPr>
                <w:rFonts w:cs="Times New Roman" w:eastAsia="Times New Roman"/>
                <w:b/>
                <w:color w:val="auto"/>
                <w:lang w:val="ru-RU" w:bidi="ar-SA" w:eastAsia="ru-RU"/>
              </w:rPr>
            </w:pPr>
            <w:r>
              <w:rPr>
                <w:rFonts w:cs="Times New Roman" w:eastAsia="Times New Roman"/>
                <w:b/>
                <w:color w:val="auto"/>
                <w:lang w:val="ru-RU" w:bidi="ar-SA" w:eastAsia="ru-RU"/>
              </w:rPr>
              <w:t xml:space="preserve">муниципальных программ </w:t>
            </w:r>
          </w:p>
          <w:p w14:paraId="00000010">
            <w:pPr>
              <w:widowControl w:val="on"/>
              <w:shd w:val="clear" w:color="auto" w:fill="ffffff"/>
              <w:ind w:left="-4"/>
              <w:jc w:val="both"/>
              <w:rPr>
                <w:rFonts w:cs="Times New Roman" w:eastAsia="Times New Roman"/>
                <w:b/>
                <w:color w:val="auto"/>
                <w:lang w:val="ru-RU" w:bidi="ar-SA" w:eastAsia="ru-RU"/>
              </w:rPr>
            </w:pPr>
            <w:r>
              <w:rPr>
                <w:rFonts w:cs="Times New Roman" w:eastAsia="Times New Roman"/>
                <w:b/>
                <w:color w:val="auto"/>
                <w:lang w:val="ru-RU" w:bidi="ar-SA" w:eastAsia="ru-RU"/>
              </w:rPr>
              <w:t>Портбайкальского</w:t>
            </w:r>
            <w:r>
              <w:rPr>
                <w:rFonts w:cs="Times New Roman" w:eastAsia="Times New Roman"/>
                <w:b/>
                <w:color w:val="auto"/>
                <w:lang w:val="ru-RU" w:bidi="ar-SA" w:eastAsia="ru-RU"/>
              </w:rPr>
              <w:t xml:space="preserve"> муниципального </w:t>
            </w:r>
            <w:r>
              <w:rPr>
                <w:rFonts w:cs="Times New Roman" w:eastAsia="Times New Roman"/>
                <w:b/>
                <w:color w:val="auto"/>
                <w:lang w:val="ru-RU" w:bidi="ar-SA" w:eastAsia="ru-RU"/>
              </w:rPr>
              <w:t>образования</w:t>
            </w:r>
          </w:p>
          <w:p w14:paraId="00000011">
            <w:pPr>
              <w:widowControl w:val="on"/>
              <w:shd w:val="clear" w:color="auto" w:fill="ffffff"/>
              <w:ind w:left="-4"/>
              <w:jc w:val="both"/>
              <w:rPr>
                <w:rFonts w:cs="Times New Roman" w:eastAsia="Times New Roman"/>
                <w:b/>
                <w:color w:val="auto"/>
                <w:lang w:val="ru-RU" w:bidi="ar-SA" w:eastAsia="ru-RU"/>
              </w:rPr>
            </w:pPr>
          </w:p>
        </w:tc>
      </w:tr>
    </w:tbl>
    <w:p w14:paraId="00000012">
      <w:pPr>
        <w:pStyle w:val="Textbodyindent"/>
        <w:shd w:val="clear" w:color="auto" w:fill="ffffff"/>
        <w:ind w:firstLine="0"/>
        <w:jc w:val="center"/>
        <w:rPr>
          <w:color w:val="000000"/>
          <w:sz w:val="24"/>
          <w:lang w:val="ru-RU"/>
        </w:rPr>
      </w:pPr>
    </w:p>
    <w:p w14:paraId="00000013">
      <w:pPr>
        <w:pStyle w:val="Standard"/>
        <w:shd w:val="clear" w:color="auto" w:fill="ffffff"/>
        <w:tabs>
          <w:tab w:val="left" w:pos="3119"/>
          <w:tab w:val="left" w:pos="6521"/>
        </w:tabs>
        <w:ind w:firstLine="709"/>
        <w:jc w:val="both"/>
        <w:rPr>
          <w:rFonts w:cs="Times New Roman" w:eastAsia="Times New Roman"/>
          <w:lang w:val="ru-RU" w:bidi="ar-SA" w:eastAsia="ru-RU"/>
        </w:rPr>
      </w:pPr>
      <w:r>
        <w:rPr>
          <w:rFonts w:cs="Times New Roman" w:eastAsia="Times New Roman"/>
          <w:lang w:val="ru-RU" w:bidi="ar-SA" w:eastAsia="ru-RU"/>
        </w:rPr>
        <w:t>В соответствии с</w:t>
      </w:r>
      <w:r>
        <w:rPr>
          <w:rFonts w:cs="Times New Roman" w:eastAsia="Times New Roman"/>
          <w:lang w:val="ru-RU" w:bidi="ar-SA" w:eastAsia="ru-RU"/>
        </w:rPr>
        <w:t>о статьей 179 Бюджетного</w:t>
      </w:r>
      <w:r>
        <w:rPr>
          <w:rFonts w:cs="Times New Roman" w:eastAsia="Times New Roman"/>
          <w:lang w:val="ru-RU" w:bidi="ar-SA" w:eastAsia="ru-RU"/>
        </w:rPr>
        <w:t xml:space="preserve"> кодекс</w:t>
      </w:r>
      <w:r>
        <w:rPr>
          <w:rFonts w:cs="Times New Roman" w:eastAsia="Times New Roman"/>
          <w:lang w:val="ru-RU" w:bidi="ar-SA" w:eastAsia="ru-RU"/>
        </w:rPr>
        <w:t>а</w:t>
      </w:r>
      <w:r>
        <w:rPr>
          <w:rFonts w:cs="Times New Roman" w:eastAsia="Times New Roman"/>
          <w:lang w:val="ru-RU" w:bidi="ar-SA" w:eastAsia="ru-RU"/>
        </w:rPr>
        <w:t xml:space="preserve"> Российской Федераци</w:t>
      </w:r>
      <w:r>
        <w:rPr>
          <w:rFonts w:cs="Times New Roman" w:eastAsia="Times New Roman"/>
          <w:lang w:val="ru-RU" w:bidi="ar-SA" w:eastAsia="ru-RU"/>
        </w:rPr>
        <w:t xml:space="preserve">и, Федеральным законом от </w:t>
      </w:r>
      <w:r>
        <w:rPr>
          <w:rFonts w:cs="Times New Roman" w:eastAsia="Times New Roman"/>
          <w:lang w:val="ru-RU" w:bidi="ar-SA" w:eastAsia="ru-RU"/>
        </w:rPr>
        <w:t xml:space="preserve">6 октября </w:t>
      </w:r>
      <w:r>
        <w:rPr>
          <w:rFonts w:cs="Times New Roman" w:eastAsia="Times New Roman"/>
          <w:lang w:val="ru-RU" w:bidi="ar-SA" w:eastAsia="ru-RU"/>
        </w:rPr>
        <w:t>2003</w:t>
      </w:r>
      <w:r>
        <w:rPr>
          <w:rFonts w:cs="Times New Roman" w:eastAsia="Times New Roman"/>
          <w:lang w:val="ru-RU" w:bidi="ar-SA" w:eastAsia="ru-RU"/>
        </w:rPr>
        <w:t xml:space="preserve"> года</w:t>
      </w:r>
      <w:r>
        <w:rPr>
          <w:rFonts w:cs="Times New Roman" w:eastAsia="Times New Roman"/>
          <w:lang w:val="ru-RU" w:bidi="ar-SA" w:eastAsia="ru-RU"/>
        </w:rPr>
        <w:t xml:space="preserve"> № 131-ФЗ «Об общих принципах организации местного самоуправления в Российской Федерации»,</w:t>
      </w:r>
      <w:r>
        <w:rPr>
          <w:rFonts w:cs="Times New Roman" w:eastAsia="Times New Roman"/>
          <w:lang w:val="ru-RU" w:bidi="ar-SA" w:eastAsia="ru-RU"/>
        </w:rPr>
        <w:t xml:space="preserve"> </w:t>
      </w:r>
      <w:r>
        <w:rPr>
          <w:rFonts w:cs="Times New Roman" w:eastAsia="Times New Roman"/>
          <w:lang w:val="ru-RU" w:bidi="ar-SA" w:eastAsia="ru-RU"/>
        </w:rPr>
        <w:t xml:space="preserve">руководствуясь </w:t>
      </w:r>
      <w:r>
        <w:rPr>
          <w:rFonts w:cs="Times New Roman" w:eastAsia="Times New Roman"/>
          <w:lang w:val="ru-RU" w:bidi="ar-SA" w:eastAsia="ru-RU"/>
        </w:rPr>
        <w:t>Устав</w:t>
      </w:r>
      <w:r>
        <w:rPr>
          <w:rFonts w:cs="Times New Roman" w:eastAsia="Times New Roman"/>
          <w:lang w:val="ru-RU" w:bidi="ar-SA" w:eastAsia="ru-RU"/>
        </w:rPr>
        <w:t>ом</w:t>
      </w:r>
      <w:r>
        <w:rPr>
          <w:rFonts w:cs="Times New Roman" w:eastAsia="Times New Roman"/>
          <w:lang w:val="ru-RU" w:bidi="ar-SA" w:eastAsia="ru-RU"/>
        </w:rPr>
        <w:t xml:space="preserve"> </w:t>
      </w:r>
      <w:r>
        <w:rPr>
          <w:lang w:val="ru-RU"/>
        </w:rPr>
        <w:t>Портбайкальского</w:t>
      </w:r>
      <w:r>
        <w:t xml:space="preserve"> муниципального</w:t>
      </w:r>
      <w:r>
        <w:t xml:space="preserve"> </w:t>
      </w:r>
      <w:r>
        <w:rPr>
          <w:lang w:val="ru-RU"/>
        </w:rPr>
        <w:t>образования</w:t>
      </w:r>
      <w:r>
        <w:rPr>
          <w:rFonts w:cs="Times New Roman" w:eastAsia="Times New Roman"/>
          <w:bCs/>
          <w:lang w:val="ru-RU" w:bidi="ar-SA" w:eastAsia="ru-RU"/>
        </w:rPr>
        <w:t>,</w:t>
      </w:r>
      <w:r>
        <w:rPr>
          <w:rFonts w:cs="Times New Roman" w:eastAsia="Times New Roman"/>
          <w:lang w:val="ru-RU" w:bidi="ar-SA" w:eastAsia="ru-RU"/>
        </w:rPr>
        <w:t xml:space="preserve"> администрация </w:t>
      </w:r>
      <w:r>
        <w:rPr>
          <w:rFonts w:cs="Times New Roman" w:eastAsia="Times New Roman"/>
          <w:lang w:val="ru-RU" w:bidi="ar-SA" w:eastAsia="ru-RU"/>
        </w:rPr>
        <w:t>Портбайкальского</w:t>
      </w:r>
      <w:r>
        <w:rPr>
          <w:rFonts w:cs="Times New Roman" w:eastAsia="Times New Roman"/>
          <w:lang w:val="ru-RU" w:bidi="ar-SA" w:eastAsia="ru-RU"/>
        </w:rPr>
        <w:t xml:space="preserve"> </w:t>
      </w:r>
      <w:r>
        <w:rPr>
          <w:rFonts w:cs="Times New Roman" w:eastAsia="Times New Roman"/>
          <w:lang w:val="ru-RU" w:bidi="ar-SA" w:eastAsia="ru-RU"/>
        </w:rPr>
        <w:t xml:space="preserve">муниципального </w:t>
      </w:r>
      <w:r>
        <w:rPr>
          <w:rFonts w:cs="Times New Roman" w:eastAsia="Times New Roman"/>
          <w:lang w:val="ru-RU" w:bidi="ar-SA" w:eastAsia="ru-RU"/>
        </w:rPr>
        <w:t>образования</w:t>
      </w:r>
    </w:p>
    <w:p w14:paraId="00000014">
      <w:pPr>
        <w:widowControl w:val="on"/>
        <w:shd w:val="clear" w:color="auto" w:fill="ffffff"/>
        <w:ind w:firstLine="993"/>
        <w:jc w:val="center"/>
        <w:rPr>
          <w:rFonts w:cs="Times New Roman" w:eastAsia="Times New Roman"/>
          <w:b/>
          <w:color w:val="auto"/>
          <w:lang w:val="ru-RU" w:bidi="ar-SA" w:eastAsia="ru-RU"/>
        </w:rPr>
      </w:pPr>
    </w:p>
    <w:p w14:paraId="00000015">
      <w:pPr>
        <w:widowControl w:val="on"/>
        <w:shd w:val="clear" w:color="auto" w:fill="ffffff"/>
        <w:jc w:val="center"/>
        <w:rPr>
          <w:rFonts w:cs="Times New Roman" w:eastAsia="Times New Roman"/>
          <w:b/>
          <w:color w:val="auto"/>
          <w:lang w:val="ru-RU" w:bidi="ar-SA" w:eastAsia="ru-RU"/>
        </w:rPr>
      </w:pPr>
      <w:r>
        <w:rPr>
          <w:rFonts w:cs="Times New Roman" w:eastAsia="Times New Roman"/>
          <w:b/>
          <w:color w:val="auto"/>
          <w:lang w:val="ru-RU" w:bidi="ar-SA" w:eastAsia="ru-RU"/>
        </w:rPr>
        <w:t>ПОСТАНОВЛЯЕТ</w:t>
      </w:r>
      <w:r>
        <w:rPr>
          <w:rFonts w:cs="Times New Roman" w:eastAsia="Times New Roman"/>
          <w:b/>
          <w:color w:val="auto"/>
          <w:lang w:val="ru-RU" w:bidi="ar-SA" w:eastAsia="ru-RU"/>
        </w:rPr>
        <w:t>:</w:t>
      </w:r>
    </w:p>
    <w:p w14:paraId="00000016">
      <w:pPr>
        <w:widowControl w:val="on"/>
        <w:shd w:val="clear" w:color="auto" w:fill="ffffff"/>
        <w:tabs>
          <w:tab w:val="left" w:pos="993"/>
        </w:tabs>
        <w:ind w:firstLine="709"/>
        <w:jc w:val="both"/>
        <w:rPr>
          <w:rFonts w:cs="Times New Roman" w:eastAsia="Times New Roman"/>
          <w:color w:val="auto"/>
          <w:lang w:val="ru-RU" w:bidi="ar-SA" w:eastAsia="ru-RU"/>
        </w:rPr>
      </w:pPr>
    </w:p>
    <w:p w14:paraId="00000017">
      <w:pPr>
        <w:pStyle w:val="ListParagraph"/>
        <w:numPr>
          <w:ilvl w:val="0"/>
          <w:numId w:val="13"/>
        </w:numPr>
        <w:shd w:val="clear" w:color="auto" w:fill="ffffff"/>
        <w:tabs>
          <w:tab w:val="left" w:pos="1134"/>
        </w:tabs>
        <w:spacing w:after="0" w:line="240" w:lineRule="auto"/>
        <w:ind w:left="0" w:firstLine="710"/>
        <w:rPr>
          <w:szCs w:val="24"/>
        </w:rPr>
      </w:pPr>
      <w:r>
        <w:rPr>
          <w:szCs w:val="24"/>
        </w:rPr>
        <w:t xml:space="preserve">Утвердить </w:t>
      </w:r>
      <w:r>
        <w:rPr>
          <w:szCs w:val="24"/>
        </w:rPr>
        <w:t xml:space="preserve">Перечень муниципальных программ </w:t>
      </w:r>
      <w:r>
        <w:rPr>
          <w:szCs w:val="24"/>
        </w:rPr>
        <w:t>Портбайкальского</w:t>
      </w:r>
      <w:r>
        <w:rPr>
          <w:szCs w:val="24"/>
        </w:rPr>
        <w:t xml:space="preserve"> муници</w:t>
      </w:r>
      <w:r>
        <w:rPr>
          <w:szCs w:val="24"/>
        </w:rPr>
        <w:t xml:space="preserve">пального </w:t>
      </w:r>
      <w:r>
        <w:rPr>
          <w:szCs w:val="24"/>
        </w:rPr>
        <w:t>образования</w:t>
      </w:r>
      <w:r>
        <w:rPr>
          <w:szCs w:val="24"/>
        </w:rPr>
        <w:t xml:space="preserve"> </w:t>
      </w:r>
      <w:r>
        <w:rPr>
          <w:szCs w:val="24"/>
        </w:rPr>
        <w:t>(прилагае</w:t>
      </w:r>
      <w:r>
        <w:rPr>
          <w:szCs w:val="24"/>
        </w:rPr>
        <w:t>т</w:t>
      </w:r>
      <w:r>
        <w:rPr>
          <w:szCs w:val="24"/>
        </w:rPr>
        <w:t>ся).</w:t>
      </w:r>
    </w:p>
    <w:p w14:paraId="00000018">
      <w:pPr>
        <w:widowControl w:val="on"/>
        <w:shd w:val="clear" w:color="auto" w:fill="ffffff"/>
        <w:ind w:left="-4"/>
        <w:jc w:val="both"/>
        <w:rPr>
          <w:lang w:val="ru-RU"/>
        </w:rPr>
      </w:pP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>2</w:t>
      </w:r>
      <w:r>
        <w:rPr>
          <w:lang w:val="ru-RU"/>
        </w:rPr>
        <w:t xml:space="preserve">.  </w:t>
      </w:r>
      <w:r>
        <w:rPr>
          <w:lang w:val="ru-RU"/>
        </w:rPr>
        <w:t>Настоящее</w:t>
      </w:r>
      <w:r>
        <w:rPr>
          <w:lang w:val="ru-RU"/>
        </w:rPr>
        <w:t xml:space="preserve"> постановление вступает в силу с 01.01.2025 года.</w:t>
      </w:r>
    </w:p>
    <w:p w14:paraId="00000019">
      <w:pPr>
        <w:pStyle w:val="NoSpacing"/>
        <w:tabs>
          <w:tab w:val="left" w:pos="993"/>
        </w:tabs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>Опубликовать</w:t>
      </w:r>
      <w:r>
        <w:rPr>
          <w:rFonts w:ascii="Times New Roman" w:hAnsi="Times New Roman"/>
          <w:sz w:val="24"/>
          <w:szCs w:val="24"/>
        </w:rPr>
        <w:t xml:space="preserve"> настоящее постановление в выпуске газеты «Портбайкальские вести» и разместить на официальном сайте администрации муниципального образования Слюдянский район, адрес: http://www.sludyanka.ru, в разделе «городские и сельские поселения МО Слюдянский район/Портбайкальское сельское поселение», нормативно правовые акты</w:t>
      </w:r>
      <w:r>
        <w:rPr>
          <w:rFonts w:ascii="Times New Roman" w:hAnsi="Times New Roman"/>
          <w:bCs/>
          <w:sz w:val="24"/>
          <w:szCs w:val="24"/>
          <w:lang w:eastAsia="ru-RU"/>
        </w:rPr>
        <w:t>.</w:t>
      </w:r>
    </w:p>
    <w:p w14:paraId="0000001A">
      <w:pPr>
        <w:widowControl w:val="on"/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ind w:firstLine="709"/>
        <w:jc w:val="both"/>
        <w:rPr>
          <w:rFonts w:cs="Times New Roman" w:eastAsia="Times New Roman"/>
          <w:color w:val="auto"/>
          <w:lang w:val="ru-RU" w:bidi="ar-SA" w:eastAsia="ru-RU"/>
        </w:rPr>
      </w:pPr>
      <w:r>
        <w:rPr>
          <w:rFonts w:cs="Times New Roman" w:eastAsia="Times New Roman"/>
          <w:color w:val="auto"/>
          <w:lang w:val="ru-RU" w:bidi="ar-SA" w:eastAsia="ru-RU"/>
        </w:rPr>
        <w:t>4</w:t>
      </w:r>
      <w:r>
        <w:rPr>
          <w:rFonts w:cs="Times New Roman" w:eastAsia="Times New Roman"/>
          <w:color w:val="auto"/>
          <w:lang w:val="ru-RU" w:bidi="ar-SA" w:eastAsia="ru-RU"/>
        </w:rPr>
        <w:t xml:space="preserve">. </w:t>
      </w:r>
      <w:r>
        <w:rPr>
          <w:rFonts w:cs="Times New Roman" w:eastAsia="Times New Roman"/>
          <w:color w:val="auto"/>
          <w:lang w:val="ru-RU" w:bidi="ar-SA" w:eastAsia="ru-RU"/>
        </w:rPr>
        <w:t xml:space="preserve">Контроль за исполнением настоящего постановления </w:t>
      </w:r>
      <w:r>
        <w:rPr>
          <w:rFonts w:cs="Times New Roman" w:eastAsia="Times New Roman"/>
          <w:color w:val="auto"/>
          <w:lang w:val="ru-RU" w:bidi="ar-SA" w:eastAsia="ru-RU"/>
        </w:rPr>
        <w:t>оставляю за собой</w:t>
      </w:r>
      <w:r>
        <w:rPr>
          <w:rFonts w:cs="Times New Roman" w:eastAsia="Times New Roman"/>
          <w:color w:val="auto"/>
          <w:lang w:val="ru-RU" w:bidi="ar-SA" w:eastAsia="ru-RU"/>
        </w:rPr>
        <w:t>.</w:t>
      </w:r>
    </w:p>
    <w:p w14:paraId="0000001B">
      <w:pPr>
        <w:widowControl w:val="on"/>
        <w:shd w:val="clear" w:color="auto" w:fill="ffffff"/>
        <w:ind w:left="540"/>
        <w:rPr>
          <w:rFonts w:cs="Times New Roman" w:eastAsia="Times New Roman"/>
          <w:b/>
          <w:color w:val="auto"/>
          <w:lang w:val="ru-RU" w:bidi="ar-SA" w:eastAsia="ru-RU"/>
        </w:rPr>
      </w:pPr>
    </w:p>
    <w:p w14:paraId="0000001C">
      <w:pPr>
        <w:widowControl w:val="on"/>
        <w:shd w:val="clear" w:color="auto" w:fill="ffffff"/>
        <w:ind w:left="540"/>
        <w:rPr>
          <w:rFonts w:cs="Times New Roman" w:eastAsia="Times New Roman"/>
          <w:b/>
          <w:color w:val="auto"/>
          <w:lang w:val="ru-RU" w:bidi="ar-SA" w:eastAsia="ru-RU"/>
        </w:rPr>
      </w:pPr>
    </w:p>
    <w:p w14:paraId="0000001D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14:paraId="0000001E">
      <w:pPr>
        <w:pStyle w:val="NoSpacing"/>
        <w:jc w:val="both"/>
        <w:rPr>
          <w:rFonts w:ascii="Times New Roman" w:hAnsi="Times New Roman"/>
          <w:b/>
          <w:sz w:val="24"/>
          <w:szCs w:val="24"/>
        </w:rPr>
        <w:sectPr>
          <w:pgSz w:w="11906" w:h="16838"/>
          <w:pgMar w:top="1134" w:right="426" w:bottom="1134" w:left="993" w:header="720" w:footer="1361" w:gutter="0"/>
          <w:cols w:space="720"/>
        </w:sectPr>
      </w:pPr>
      <w:r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p w14:paraId="0000001F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Утвержден</w:t>
      </w:r>
    </w:p>
    <w:p w14:paraId="00000020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П</w:t>
      </w:r>
      <w:r>
        <w:rPr>
          <w:sz w:val="22"/>
          <w:szCs w:val="22"/>
          <w:lang w:val="ru-RU"/>
        </w:rPr>
        <w:t>остановлени</w:t>
      </w:r>
      <w:r>
        <w:rPr>
          <w:sz w:val="22"/>
          <w:szCs w:val="22"/>
          <w:lang w:val="ru-RU"/>
        </w:rPr>
        <w:t xml:space="preserve">ем </w:t>
      </w:r>
      <w:r>
        <w:rPr>
          <w:sz w:val="22"/>
          <w:szCs w:val="22"/>
          <w:lang w:val="ru-RU"/>
        </w:rPr>
        <w:t xml:space="preserve"> администрации</w:t>
      </w:r>
    </w:p>
    <w:p w14:paraId="00000021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Портбайкальского</w:t>
      </w:r>
      <w:r>
        <w:rPr>
          <w:sz w:val="22"/>
          <w:szCs w:val="22"/>
          <w:lang w:val="ru-RU"/>
        </w:rPr>
        <w:t xml:space="preserve"> муниципального </w:t>
      </w:r>
      <w:r>
        <w:rPr>
          <w:sz w:val="22"/>
          <w:szCs w:val="22"/>
          <w:lang w:val="ru-RU"/>
        </w:rPr>
        <w:t>образования</w:t>
      </w:r>
      <w:r>
        <w:rPr>
          <w:sz w:val="22"/>
          <w:szCs w:val="22"/>
          <w:lang w:val="ru-RU"/>
        </w:rPr>
        <w:t xml:space="preserve">   </w:t>
      </w:r>
    </w:p>
    <w:p w14:paraId="00000022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от  «</w:t>
      </w:r>
      <w:r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04</w:t>
      </w:r>
      <w:r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»</w:t>
      </w:r>
      <w:r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октября</w:t>
      </w:r>
      <w:r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202</w:t>
      </w:r>
      <w:r>
        <w:rPr>
          <w:sz w:val="22"/>
          <w:szCs w:val="22"/>
          <w:lang w:val="ru-RU"/>
        </w:rPr>
        <w:t>4</w:t>
      </w:r>
      <w:r>
        <w:rPr>
          <w:sz w:val="22"/>
          <w:szCs w:val="22"/>
          <w:lang w:val="ru-RU"/>
        </w:rPr>
        <w:t xml:space="preserve"> г. №</w:t>
      </w:r>
      <w:r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43</w:t>
      </w:r>
      <w:r>
        <w:rPr>
          <w:sz w:val="22"/>
          <w:szCs w:val="22"/>
          <w:lang w:val="ru-RU"/>
        </w:rPr>
        <w:t xml:space="preserve">     </w:t>
      </w:r>
    </w:p>
    <w:p w14:paraId="00000023">
      <w:pPr>
        <w:pStyle w:val="Standard"/>
        <w:shd w:val="clear" w:color="auto" w:fill="ffffff"/>
        <w:tabs>
          <w:tab w:val="left" w:pos="3119"/>
          <w:tab w:val="left" w:pos="6521"/>
        </w:tabs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ПЕРЕЧЕНЬ</w:t>
      </w:r>
    </w:p>
    <w:p w14:paraId="00000024">
      <w:pPr>
        <w:pStyle w:val="Standard"/>
        <w:shd w:val="clear" w:color="auto" w:fill="ffffff"/>
        <w:tabs>
          <w:tab w:val="left" w:pos="3119"/>
          <w:tab w:val="left" w:pos="6521"/>
        </w:tabs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муниципальных программ </w:t>
      </w:r>
      <w:r>
        <w:rPr>
          <w:sz w:val="28"/>
          <w:szCs w:val="28"/>
          <w:lang w:val="ru-RU"/>
        </w:rPr>
        <w:t>Портбайкальского</w:t>
      </w:r>
      <w:r>
        <w:rPr>
          <w:sz w:val="28"/>
          <w:szCs w:val="28"/>
          <w:lang w:val="ru-RU"/>
        </w:rPr>
        <w:t xml:space="preserve"> муниципального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образования </w:t>
      </w:r>
    </w:p>
    <w:p w14:paraId="00000025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jc w:val="both"/>
        <w:rPr>
          <w:sz w:val="28"/>
          <w:szCs w:val="28"/>
          <w:lang w:val="ru-RU"/>
        </w:rPr>
      </w:pPr>
    </w:p>
    <w:tbl>
      <w:tblPr>
        <w:tblW w:w="14459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709"/>
        <w:gridCol w:w="3032"/>
        <w:gridCol w:w="1984"/>
        <w:gridCol w:w="1985"/>
        <w:gridCol w:w="4339"/>
        <w:gridCol w:w="1276"/>
        <w:gridCol w:w="1134"/>
      </w:tblGrid>
      <w:tr>
        <w:tblPrEx>
          <w:tblCellMar>
            <w:top w:w="0" w:type="dxa"/>
            <w:bottom w:w="0" w:type="dxa"/>
          </w:tblCellMar>
        </w:tblPrEx>
        <w:trPr/>
        <w:tc>
          <w:tcPr>
            <w:cnfStyle w:val="000010100000"/>
            <w:tcW w:w="709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00026">
            <w:pPr>
              <w:pStyle w:val="TableContents"/>
              <w:shd w:val="clear" w:color="auto" w:fill="ffffff"/>
              <w:jc w:val="center"/>
              <w:rPr>
                <w:rFonts w:cs="Times New Roman"/>
                <w:b/>
                <w:lang w:val="ru-RU"/>
              </w:rPr>
            </w:pPr>
            <w:r>
              <w:rPr>
                <w:b/>
                <w:lang w:val="ru-RU"/>
              </w:rPr>
              <w:t>№ п/п</w:t>
            </w:r>
          </w:p>
        </w:tc>
        <w:tc>
          <w:tcPr>
            <w:cnfStyle w:val="000001100000"/>
            <w:tcW w:w="3032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00027">
            <w:pPr>
              <w:pStyle w:val="TableContents"/>
              <w:shd w:val="clear" w:color="auto" w:fill="ffffff"/>
              <w:jc w:val="center"/>
              <w:rPr>
                <w:rFonts w:cs="Times New Roman"/>
                <w:b/>
                <w:lang w:val="ru-RU"/>
              </w:rPr>
            </w:pPr>
            <w:r>
              <w:rPr>
                <w:b/>
                <w:lang w:val="ru-RU"/>
              </w:rPr>
              <w:t>Наименование муниципальных программ</w:t>
            </w:r>
          </w:p>
        </w:tc>
        <w:tc>
          <w:tcPr>
            <w:cnfStyle w:val="000010100000"/>
            <w:tcW w:w="1984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00028">
            <w:pPr>
              <w:pStyle w:val="TableContents"/>
              <w:shd w:val="clear" w:color="auto" w:fill="ffffff"/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Куратор муниципальной программы</w:t>
            </w:r>
          </w:p>
        </w:tc>
        <w:tc>
          <w:tcPr>
            <w:cnfStyle w:val="000001100000"/>
            <w:tcW w:w="1985" w:type="dxa"/>
          </w:tcPr>
          <w:p w14:paraId="00000029">
            <w:pPr>
              <w:pStyle w:val="TableContents"/>
              <w:shd w:val="clear" w:color="auto" w:fill="ffffff"/>
              <w:jc w:val="center"/>
              <w:rPr>
                <w:b/>
                <w:lang w:val="ru-RU"/>
              </w:rPr>
            </w:pPr>
          </w:p>
          <w:p w14:paraId="0000002A">
            <w:pPr>
              <w:pStyle w:val="TableContents"/>
              <w:shd w:val="clear" w:color="auto" w:fill="ffffff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Ответственный исполнитель</w:t>
            </w:r>
          </w:p>
        </w:tc>
        <w:tc>
          <w:tcPr>
            <w:cnfStyle w:val="000010100000"/>
            <w:tcW w:w="4339" w:type="dxa"/>
          </w:tcPr>
          <w:p w14:paraId="0000002B">
            <w:pPr>
              <w:pStyle w:val="TableContents"/>
              <w:shd w:val="clear" w:color="auto" w:fill="ffffff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Наименование структурного элемента (СЭ</w:t>
            </w:r>
            <w:r>
              <w:rPr>
                <w:b/>
                <w:lang w:val="ru-RU"/>
              </w:rPr>
              <w:t xml:space="preserve">: </w:t>
            </w:r>
          </w:p>
          <w:p w14:paraId="0000002C">
            <w:pPr>
              <w:pStyle w:val="TableContents"/>
              <w:shd w:val="clear" w:color="auto" w:fill="ffffff"/>
              <w:jc w:val="center"/>
              <w:rPr>
                <w:lang w:val="ru-RU"/>
              </w:rPr>
            </w:pPr>
            <w:r>
              <w:rPr>
                <w:lang w:val="ru-RU"/>
              </w:rPr>
              <w:t>МП</w:t>
            </w:r>
            <w:r>
              <w:rPr>
                <w:lang w:val="ru-RU"/>
              </w:rPr>
              <w:t>р</w:t>
            </w:r>
            <w:r>
              <w:rPr>
                <w:lang w:val="ru-RU"/>
              </w:rPr>
              <w:t>-муниципальный проект;</w:t>
            </w:r>
          </w:p>
          <w:p w14:paraId="0000002D">
            <w:pPr>
              <w:pStyle w:val="TableContents"/>
              <w:shd w:val="clear" w:color="auto" w:fill="ffffff"/>
              <w:jc w:val="center"/>
              <w:rPr>
                <w:b/>
                <w:lang w:val="ru-RU"/>
              </w:rPr>
            </w:pPr>
            <w:r>
              <w:rPr>
                <w:lang w:val="ru-RU"/>
              </w:rPr>
              <w:t>КПМ – комплекс процессных мероприятий</w:t>
            </w:r>
            <w:r>
              <w:rPr>
                <w:lang w:val="ru-RU"/>
              </w:rPr>
              <w:t>)</w:t>
            </w:r>
          </w:p>
        </w:tc>
        <w:tc>
          <w:tcPr>
            <w:cnfStyle w:val="000001100000"/>
            <w:tcW w:w="1276" w:type="dxa"/>
          </w:tcPr>
          <w:p w14:paraId="0000002E">
            <w:pPr>
              <w:pStyle w:val="TableContents"/>
              <w:shd w:val="clear" w:color="auto" w:fill="ffffff"/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Тип МП</w:t>
            </w:r>
            <w:r>
              <w:rPr>
                <w:rFonts w:cs="Times New Roman"/>
                <w:b/>
                <w:lang w:val="ru-RU"/>
              </w:rPr>
              <w:t>р</w:t>
            </w:r>
            <w:r>
              <w:rPr>
                <w:rStyle w:val="Footnotereference"/>
                <w:rFonts w:cs="Times New Roman"/>
                <w:b/>
                <w:lang w:val="ru-RU"/>
              </w:rPr>
              <w:footnoteReference w:id="2"/>
            </w:r>
            <w:r>
              <w:rPr>
                <w:rFonts w:cs="Times New Roman"/>
                <w:b/>
                <w:lang w:val="ru-RU"/>
              </w:rPr>
              <w:t xml:space="preserve"> </w:t>
            </w:r>
          </w:p>
        </w:tc>
        <w:tc>
          <w:tcPr>
            <w:cnfStyle w:val="000010100000"/>
            <w:tcW w:w="1134" w:type="dxa"/>
          </w:tcPr>
          <w:p w14:paraId="0000002F">
            <w:pPr>
              <w:pStyle w:val="TableContents"/>
              <w:shd w:val="clear" w:color="auto" w:fill="ffffff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Срок реализации</w:t>
            </w:r>
          </w:p>
        </w:tc>
      </w:tr>
      <w:tr>
        <w:tblPrEx>
          <w:tblCellMar>
            <w:top w:w="0" w:type="dxa"/>
            <w:bottom w:w="0" w:type="dxa"/>
          </w:tblCellMar>
        </w:tblPrEx>
        <w:trPr/>
        <w:tc>
          <w:tcPr>
            <w:cnfStyle w:val="000010010000"/>
            <w:tcW w:w="709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00030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1</w:t>
            </w:r>
          </w:p>
        </w:tc>
        <w:tc>
          <w:tcPr>
            <w:cnfStyle w:val="000001010000"/>
            <w:tcW w:w="3032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00031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2</w:t>
            </w:r>
          </w:p>
        </w:tc>
        <w:tc>
          <w:tcPr>
            <w:cnfStyle w:val="000010010000"/>
            <w:tcW w:w="1984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000032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3</w:t>
            </w:r>
          </w:p>
        </w:tc>
        <w:tc>
          <w:tcPr>
            <w:cnfStyle w:val="000001010000"/>
            <w:tcW w:w="1985" w:type="dxa"/>
          </w:tcPr>
          <w:p w14:paraId="00000033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4</w:t>
            </w:r>
          </w:p>
        </w:tc>
        <w:tc>
          <w:tcPr>
            <w:cnfStyle w:val="000010010000"/>
            <w:tcW w:w="4339" w:type="dxa"/>
          </w:tcPr>
          <w:p w14:paraId="00000034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5</w:t>
            </w:r>
          </w:p>
        </w:tc>
        <w:tc>
          <w:tcPr>
            <w:cnfStyle w:val="000001010000"/>
            <w:tcW w:w="1276" w:type="dxa"/>
          </w:tcPr>
          <w:p w14:paraId="00000035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6</w:t>
            </w:r>
          </w:p>
        </w:tc>
        <w:tc>
          <w:tcPr>
            <w:cnfStyle w:val="000010010000"/>
            <w:tcW w:w="1134" w:type="dxa"/>
          </w:tcPr>
          <w:p w14:paraId="00000036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7</w:t>
            </w:r>
          </w:p>
        </w:tc>
      </w:tr>
      <w:tr>
        <w:tblPrEx>
          <w:tblCellMar>
            <w:top w:w="0" w:type="dxa"/>
            <w:bottom w:w="0" w:type="dxa"/>
          </w:tblCellMar>
        </w:tblPrEx>
        <w:trPr/>
        <w:tc>
          <w:tcPr>
            <w:cnfStyle w:val="000010100000"/>
            <w:tcW w:w="14459" w:type="dxa"/>
            <w:gridSpan w:val="7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00037">
            <w:pPr>
              <w:shd w:val="clear" w:color="auto" w:fill="ffffff"/>
              <w:jc w:val="center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</w:rPr>
              <w:t>Стратегическая цель</w:t>
            </w:r>
            <w:r>
              <w:rPr>
                <w:rFonts w:cs="Times New Roman"/>
                <w:b/>
                <w:lang w:val="ru-RU"/>
              </w:rPr>
              <w:t xml:space="preserve">: </w:t>
            </w:r>
          </w:p>
          <w:p w14:paraId="00000038">
            <w:pPr>
              <w:shd w:val="clear" w:color="auto" w:fill="ffffff"/>
              <w:jc w:val="center"/>
              <w:rPr>
                <w:b/>
              </w:rPr>
            </w:pPr>
            <w:r>
              <w:rPr>
                <w:rFonts w:cs="Times New Roman"/>
                <w:b/>
              </w:rPr>
              <w:t>Повышение качества человеческого капитала на основе социально-ориентированного типа экономического развития</w:t>
            </w:r>
          </w:p>
          <w:p w14:paraId="00000039">
            <w:pPr>
              <w:shd w:val="clear" w:color="auto" w:fill="ffffff"/>
              <w:rPr>
                <w:rFonts w:cs="Times New Roman"/>
              </w:rPr>
            </w:pPr>
          </w:p>
        </w:tc>
      </w:tr>
      <w:tr>
        <w:tblPrEx>
          <w:tblCellMar>
            <w:top w:w="0" w:type="dxa"/>
            <w:bottom w:w="0" w:type="dxa"/>
          </w:tblCellMar>
        </w:tblPrEx>
        <w:trPr/>
        <w:tc>
          <w:tcPr>
            <w:cnfStyle w:val="000010010000"/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0003A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1.</w:t>
            </w:r>
          </w:p>
        </w:tc>
        <w:tc>
          <w:tcPr>
            <w:cnfStyle w:val="000001010000"/>
            <w:tcW w:w="13750" w:type="dxa"/>
            <w:gridSpan w:val="6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0003B">
            <w:pPr>
              <w:shd w:val="clear" w:color="auto" w:fill="ffffff"/>
              <w:rPr>
                <w:rFonts w:cs="Times New Roman"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 xml:space="preserve">Стратегическая задача </w:t>
            </w:r>
            <w:r>
              <w:rPr>
                <w:rFonts w:cs="Times New Roman"/>
                <w:b/>
                <w:lang w:val="ru-RU"/>
              </w:rPr>
              <w:t>1</w:t>
            </w:r>
            <w:r>
              <w:rPr>
                <w:rFonts w:cs="Times New Roman"/>
                <w:b/>
                <w:lang w:val="ru-RU"/>
              </w:rPr>
              <w:t>: Поддержание высокого уровня управления</w:t>
            </w:r>
          </w:p>
        </w:tc>
      </w:tr>
      <w:tr>
        <w:tblPrEx>
          <w:tblCellMar>
            <w:top w:w="0" w:type="dxa"/>
            <w:bottom w:w="0" w:type="dxa"/>
          </w:tblCellMar>
        </w:tblPrEx>
        <w:trPr/>
        <w:tc>
          <w:tcPr>
            <w:cnfStyle w:val="000010100000"/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0003C">
            <w:pPr>
              <w:pStyle w:val="TableContents"/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1</w:t>
            </w:r>
            <w:r>
              <w:rPr>
                <w:rFonts w:cs="Times New Roman"/>
                <w:lang w:val="ru-RU"/>
              </w:rPr>
              <w:t>.</w:t>
            </w:r>
            <w:r>
              <w:rPr>
                <w:rFonts w:cs="Times New Roman"/>
                <w:lang w:val="ru-RU"/>
              </w:rPr>
              <w:t>1</w:t>
            </w:r>
          </w:p>
        </w:tc>
        <w:tc>
          <w:tcPr>
            <w:cnfStyle w:val="000001100000"/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0003D">
            <w:pPr>
              <w:pStyle w:val="TableContents"/>
              <w:shd w:val="clear" w:color="auto" w:fill="ffffff"/>
              <w:rPr>
                <w:rFonts w:cs="Times New Roman"/>
                <w:b/>
                <w:lang w:val="ru-RU"/>
              </w:rPr>
            </w:pPr>
            <w:r>
              <w:rPr>
                <w:rFonts w:cs="Times New Roman"/>
                <w:b/>
                <w:lang w:val="ru-RU"/>
              </w:rPr>
              <w:t>«</w:t>
            </w:r>
            <w:r>
              <w:rPr>
                <w:rFonts w:cs="Times New Roman"/>
                <w:b/>
                <w:lang w:val="ru-RU"/>
              </w:rPr>
              <w:t>Комплексное развитие</w:t>
            </w:r>
            <w:r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lang w:val="ru-RU"/>
              </w:rPr>
              <w:t>Портбайкальско</w:t>
            </w:r>
            <w:r>
              <w:rPr>
                <w:rFonts w:cs="Times New Roman"/>
                <w:b/>
                <w:lang w:val="ru-RU"/>
              </w:rPr>
              <w:t>го</w:t>
            </w:r>
            <w:r>
              <w:rPr>
                <w:rFonts w:cs="Times New Roman"/>
                <w:b/>
                <w:lang w:val="ru-RU"/>
              </w:rPr>
              <w:t xml:space="preserve"> муниципально</w:t>
            </w:r>
            <w:r>
              <w:rPr>
                <w:rFonts w:cs="Times New Roman"/>
                <w:b/>
                <w:lang w:val="ru-RU"/>
              </w:rPr>
              <w:t>го</w:t>
            </w:r>
            <w:r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lang w:val="ru-RU"/>
              </w:rPr>
              <w:t>образовани</w:t>
            </w:r>
            <w:r>
              <w:rPr>
                <w:rFonts w:cs="Times New Roman"/>
                <w:b/>
                <w:lang w:val="ru-RU"/>
              </w:rPr>
              <w:t>я</w:t>
            </w:r>
            <w:r>
              <w:rPr>
                <w:rFonts w:cs="Times New Roman"/>
                <w:b/>
                <w:lang w:val="ru-RU"/>
              </w:rPr>
              <w:t xml:space="preserve">» </w:t>
            </w:r>
          </w:p>
        </w:tc>
        <w:tc>
          <w:tcPr>
            <w:cnfStyle w:val="000010100000"/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0003E">
            <w:pPr>
              <w:pStyle w:val="TableContents"/>
              <w:shd w:val="clear" w:color="auto" w:fill="ffffff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 xml:space="preserve">Глава </w:t>
            </w:r>
            <w:r>
              <w:rPr>
                <w:rFonts w:cs="Times New Roman"/>
                <w:lang w:val="ru-RU"/>
              </w:rPr>
              <w:t xml:space="preserve">администрации </w:t>
            </w:r>
          </w:p>
          <w:p w14:paraId="0000003F">
            <w:pPr>
              <w:pStyle w:val="TableContents"/>
              <w:shd w:val="clear" w:color="auto" w:fill="ffffff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Симакова Н.И.</w:t>
            </w:r>
          </w:p>
        </w:tc>
        <w:tc>
          <w:tcPr>
            <w:cnfStyle w:val="000001100000"/>
            <w:tcW w:w="1985" w:type="dxa"/>
            <w:shd w:val="clear" w:color="auto" w:fill="ffffff"/>
          </w:tcPr>
          <w:p w14:paraId="00000040">
            <w:pPr>
              <w:pStyle w:val="TableContents"/>
              <w:shd w:val="clear" w:color="auto" w:fill="ffffff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 xml:space="preserve">Администрация </w:t>
            </w:r>
            <w:r>
              <w:rPr>
                <w:rFonts w:cs="Times New Roman"/>
                <w:lang w:val="ru-RU"/>
              </w:rPr>
              <w:t>ПМО</w:t>
            </w:r>
            <w:r>
              <w:rPr>
                <w:rFonts w:cs="Times New Roman"/>
                <w:lang w:val="ru-RU"/>
              </w:rPr>
              <w:t xml:space="preserve"> в лице </w:t>
            </w:r>
            <w:r>
              <w:rPr>
                <w:rFonts w:cs="Times New Roman"/>
                <w:lang w:val="ru-RU"/>
              </w:rPr>
              <w:t>главы администрации</w:t>
            </w:r>
            <w:r>
              <w:rPr>
                <w:rFonts w:cs="Times New Roman"/>
                <w:lang w:val="ru-RU"/>
              </w:rPr>
              <w:t xml:space="preserve"> </w:t>
            </w:r>
          </w:p>
        </w:tc>
        <w:tc>
          <w:tcPr>
            <w:cnfStyle w:val="000010100000"/>
            <w:tcW w:w="4339" w:type="dxa"/>
            <w:shd w:val="clear" w:color="auto" w:fill="ffffff"/>
          </w:tcPr>
          <w:p w14:paraId="00000041">
            <w:pPr>
              <w:pStyle w:val="TableContents"/>
              <w:shd w:val="clear" w:color="auto" w:fill="ffffff"/>
              <w:ind w:left="218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 xml:space="preserve">КПМ 1. «Обеспечение деятельности администрации </w:t>
            </w:r>
            <w:r>
              <w:rPr>
                <w:rFonts w:cs="Times New Roman"/>
                <w:lang w:val="ru-RU"/>
              </w:rPr>
              <w:t>Портбайкальского</w:t>
            </w:r>
            <w:r>
              <w:rPr>
                <w:rFonts w:cs="Times New Roman"/>
                <w:lang w:val="ru-RU"/>
              </w:rPr>
              <w:t xml:space="preserve"> </w:t>
            </w:r>
            <w:r>
              <w:rPr>
                <w:rFonts w:cs="Times New Roman"/>
                <w:lang w:val="ru-RU"/>
              </w:rPr>
              <w:t>сельского поселения</w:t>
            </w:r>
            <w:r>
              <w:rPr>
                <w:rFonts w:cs="Times New Roman"/>
                <w:lang w:val="ru-RU"/>
              </w:rPr>
              <w:t xml:space="preserve">» </w:t>
            </w:r>
          </w:p>
          <w:p w14:paraId="00000042">
            <w:pPr>
              <w:pStyle w:val="TableContents"/>
              <w:shd w:val="clear" w:color="auto" w:fill="ffffff"/>
              <w:ind w:left="218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КПМ 2. «</w:t>
            </w:r>
            <w:r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>на территории Портбайкальского</w:t>
            </w:r>
            <w:r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>
              <w:rPr>
                <w:rFonts w:cs="Times New Roman"/>
                <w:lang w:val="ru-RU"/>
              </w:rPr>
              <w:t xml:space="preserve">» </w:t>
            </w:r>
          </w:p>
          <w:p w14:paraId="00000043">
            <w:pPr>
              <w:pStyle w:val="TableContents"/>
              <w:shd w:val="clear" w:color="auto" w:fill="ffffff"/>
              <w:ind w:left="218"/>
              <w:rPr>
                <w:lang w:val="ru-RU"/>
              </w:rPr>
            </w:pPr>
            <w:r>
              <w:rPr>
                <w:rFonts w:cs="Times New Roman"/>
                <w:lang w:val="ru-RU"/>
              </w:rPr>
              <w:t xml:space="preserve">КПМ 3. </w:t>
            </w:r>
            <w:r>
              <w:rPr>
                <w:lang w:val="ru-RU"/>
              </w:rPr>
              <w:t>«</w:t>
            </w:r>
            <w:r>
              <w:t xml:space="preserve">Развитие системы пожарной безопасности, на территории </w:t>
            </w:r>
            <w:r>
              <w:t>Портбайкальского  сельского  поселения</w:t>
            </w:r>
            <w:r>
              <w:rPr>
                <w:lang w:val="ru-RU"/>
              </w:rPr>
              <w:t>»</w:t>
            </w:r>
          </w:p>
          <w:p w14:paraId="00000044">
            <w:pPr>
              <w:pStyle w:val="TableContents"/>
              <w:shd w:val="clear" w:color="auto" w:fill="ffffff"/>
              <w:ind w:left="218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КПМ 4. «</w:t>
            </w:r>
            <w:r>
              <w:rPr>
                <w:bCs/>
              </w:rPr>
              <w:t>Благоустройство и уличное освещение территории Портбайкальского сельского поселения</w:t>
            </w:r>
            <w:r>
              <w:rPr>
                <w:bCs/>
                <w:lang w:val="ru-RU"/>
              </w:rPr>
              <w:t>»</w:t>
            </w:r>
          </w:p>
        </w:tc>
        <w:tc>
          <w:tcPr>
            <w:cnfStyle w:val="000001100000"/>
            <w:tcW w:w="1276" w:type="dxa"/>
            <w:shd w:val="clear" w:color="auto" w:fill="ffffff"/>
          </w:tcPr>
          <w:p w14:paraId="00000045">
            <w:pPr>
              <w:pStyle w:val="TableContents"/>
              <w:shd w:val="clear" w:color="auto" w:fill="ffffff"/>
              <w:rPr>
                <w:rFonts w:cs="Times New Roman"/>
                <w:lang w:val="ru-RU"/>
              </w:rPr>
            </w:pPr>
          </w:p>
        </w:tc>
        <w:tc>
          <w:tcPr>
            <w:cnfStyle w:val="000010100000"/>
            <w:tcW w:w="1134" w:type="dxa"/>
            <w:shd w:val="clear" w:color="auto" w:fill="ffffff"/>
          </w:tcPr>
          <w:p w14:paraId="00000046">
            <w:pPr>
              <w:pStyle w:val="TableContents"/>
              <w:shd w:val="clear" w:color="auto" w:fill="ffffff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2025-2030 годы</w:t>
            </w:r>
          </w:p>
        </w:tc>
      </w:tr>
    </w:tbl>
    <w:p w14:paraId="00000047">
      <w:pPr>
        <w:shd w:val="clear" w:color="auto" w:fill="ffffff"/>
        <w:tabs>
          <w:tab w:val="left" w:pos="2552"/>
        </w:tabs>
        <w:rPr>
          <w:vanish/>
          <w:lang w:val="ru-RU"/>
        </w:rPr>
      </w:pPr>
      <w:r>
        <w:rPr>
          <w:lang w:val="ru-RU"/>
        </w:rPr>
        <w:tab/>
      </w:r>
    </w:p>
    <w:p w14:paraId="00000048">
      <w:pPr>
        <w:shd w:val="clear" w:color="auto" w:fill="ffffff"/>
        <w:tabs>
          <w:tab w:val="left" w:pos="2552"/>
        </w:tabs>
        <w:rPr>
          <w:lang w:val="ru-RU"/>
        </w:rPr>
      </w:pPr>
    </w:p>
    <w:sectPr>
      <w:pgSz w:w="16838" w:h="11906" w:orient="landscape"/>
      <w:pgMar w:top="993" w:right="1134" w:bottom="426" w:left="1134" w:header="720" w:footer="136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endnote w:type="separator" w:id="0">
    <w:p w14:paraId="00000004">
      <w:r>
        <w:rPr/>
        <w:separator/>
      </w:r>
    </w:p>
  </w:endnote>
  <w:endnote w:type="continuationSeparator" w:id="1">
    <w:p w14:paraId="00000005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00000000" w:usb1="68c7fcfb" w:usb2="00000010" w:usb3="00000000" w:csb0="0002009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  <w:footnote w:id="2">
    <w:p w14:paraId="00000003">
      <w:pPr>
        <w:pStyle w:val="Footnotetext"/>
        <w:rPr/>
      </w:pP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ind w:left="44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167" w:hanging="360"/>
      </w:pPr>
    </w:lvl>
    <w:lvl w:ilvl="2" w:tentative="1">
      <w:start w:val="1"/>
      <w:numFmt w:val="lowerRoman"/>
      <w:lvlText w:val="%3."/>
      <w:lvlJc w:val="right"/>
      <w:pPr>
        <w:ind w:left="1887" w:hanging="180"/>
      </w:pPr>
    </w:lvl>
    <w:lvl w:ilvl="3" w:tentative="1">
      <w:start w:val="1"/>
      <w:numFmt w:val="decimal"/>
      <w:lvlText w:val="%4."/>
      <w:lvlJc w:val="left"/>
      <w:pPr>
        <w:ind w:left="2607" w:hanging="360"/>
      </w:pPr>
    </w:lvl>
    <w:lvl w:ilvl="4" w:tentative="1">
      <w:start w:val="1"/>
      <w:numFmt w:val="lowerLetter"/>
      <w:lvlText w:val="%5."/>
      <w:lvlJc w:val="left"/>
      <w:pPr>
        <w:ind w:left="3327" w:hanging="360"/>
      </w:pPr>
    </w:lvl>
    <w:lvl w:ilvl="5" w:tentative="1">
      <w:start w:val="1"/>
      <w:numFmt w:val="lowerRoman"/>
      <w:lvlText w:val="%6."/>
      <w:lvlJc w:val="right"/>
      <w:pPr>
        <w:ind w:left="4047" w:hanging="180"/>
      </w:pPr>
    </w:lvl>
    <w:lvl w:ilvl="6" w:tentative="1">
      <w:start w:val="1"/>
      <w:numFmt w:val="decimal"/>
      <w:lvlText w:val="%7."/>
      <w:lvlJc w:val="left"/>
      <w:pPr>
        <w:ind w:left="4767" w:hanging="360"/>
      </w:pPr>
    </w:lvl>
    <w:lvl w:ilvl="7" w:tentative="1">
      <w:start w:val="1"/>
      <w:numFmt w:val="lowerLetter"/>
      <w:lvlText w:val="%8."/>
      <w:lvlJc w:val="left"/>
      <w:pPr>
        <w:ind w:left="5487" w:hanging="360"/>
      </w:pPr>
    </w:lvl>
    <w:lvl w:ilvl="8" w:tentative="1">
      <w:start w:val="1"/>
      <w:numFmt w:val="lowerRoman"/>
      <w:lvlText w:val="%9."/>
      <w:lvlJc w:val="right"/>
      <w:pPr>
        <w:ind w:left="6207" w:hanging="180"/>
      </w:pPr>
    </w:lvl>
  </w:abstractNum>
  <w:abstractNum w:abstractNumId="3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 w:tentative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 w:tentative="0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5" w:hanging="360"/>
      </w:pPr>
    </w:lvl>
    <w:lvl w:ilvl="2" w:tentative="1">
      <w:start w:val="1"/>
      <w:numFmt w:val="lowerRoman"/>
      <w:lvlText w:val="%3."/>
      <w:lvlJc w:val="right"/>
      <w:pPr>
        <w:ind w:left="2225" w:hanging="180"/>
      </w:pPr>
    </w:lvl>
    <w:lvl w:ilvl="3" w:tentative="1">
      <w:start w:val="1"/>
      <w:numFmt w:val="decimal"/>
      <w:lvlText w:val="%4."/>
      <w:lvlJc w:val="left"/>
      <w:pPr>
        <w:ind w:left="2945" w:hanging="360"/>
      </w:pPr>
    </w:lvl>
    <w:lvl w:ilvl="4" w:tentative="1">
      <w:start w:val="1"/>
      <w:numFmt w:val="lowerLetter"/>
      <w:lvlText w:val="%5."/>
      <w:lvlJc w:val="left"/>
      <w:pPr>
        <w:ind w:left="3665" w:hanging="360"/>
      </w:pPr>
    </w:lvl>
    <w:lvl w:ilvl="5" w:tentative="1">
      <w:start w:val="1"/>
      <w:numFmt w:val="lowerRoman"/>
      <w:lvlText w:val="%6."/>
      <w:lvlJc w:val="right"/>
      <w:pPr>
        <w:ind w:left="4385" w:hanging="180"/>
      </w:pPr>
    </w:lvl>
    <w:lvl w:ilvl="6" w:tentative="1">
      <w:start w:val="1"/>
      <w:numFmt w:val="decimal"/>
      <w:lvlText w:val="%7."/>
      <w:lvlJc w:val="left"/>
      <w:pPr>
        <w:ind w:left="5105" w:hanging="360"/>
      </w:pPr>
    </w:lvl>
    <w:lvl w:ilvl="7" w:tentative="1">
      <w:start w:val="1"/>
      <w:numFmt w:val="lowerLetter"/>
      <w:lvlText w:val="%8."/>
      <w:lvlJc w:val="left"/>
      <w:pPr>
        <w:ind w:left="5825" w:hanging="360"/>
      </w:pPr>
    </w:lvl>
    <w:lvl w:ilvl="8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">
    <w:multiLevelType w:val="multilevel"/>
    <w:lvl w:ilvl="0" w:tentative="0">
      <w:start w:val="1"/>
      <w:numFmt w:val="decimal"/>
      <w:lvlText w:val="%1."/>
      <w:lvlJc w:val="left"/>
    </w:lvl>
    <w:lvl w:ilvl="1" w:tentative="0">
      <w:start w:val="1"/>
      <w:numFmt w:val="decimal"/>
      <w:lvlText w:val="%2."/>
      <w:lvlJc w:val="left"/>
    </w:lvl>
    <w:lvl w:ilvl="2" w:tentative="0">
      <w:start w:val="1"/>
      <w:numFmt w:val="decimal"/>
      <w:lvlText w:val="%3."/>
      <w:lvlJc w:val="left"/>
    </w:lvl>
    <w:lvl w:ilvl="3" w:tentative="0">
      <w:start w:val="1"/>
      <w:numFmt w:val="decimal"/>
      <w:lvlText w:val="%4."/>
      <w:lvlJc w:val="left"/>
    </w:lvl>
    <w:lvl w:ilvl="4" w:tentative="0">
      <w:start w:val="1"/>
      <w:numFmt w:val="decimal"/>
      <w:lvlText w:val="%5."/>
      <w:lvlJc w:val="left"/>
    </w:lvl>
    <w:lvl w:ilvl="5" w:tentative="0">
      <w:start w:val="1"/>
      <w:numFmt w:val="decimal"/>
      <w:lvlText w:val="%6."/>
      <w:lvlJc w:val="left"/>
    </w:lvl>
    <w:lvl w:ilvl="6" w:tentative="0">
      <w:start w:val="1"/>
      <w:numFmt w:val="decimal"/>
      <w:lvlText w:val="%7."/>
      <w:lvlJc w:val="left"/>
    </w:lvl>
    <w:lvl w:ilvl="7" w:tentative="0">
      <w:start w:val="1"/>
      <w:numFmt w:val="decimal"/>
      <w:lvlText w:val="%8."/>
      <w:lvlJc w:val="left"/>
    </w:lvl>
    <w:lvl w:ilvl="8" w:tentative="0">
      <w:start w:val="1"/>
      <w:numFmt w:val="decimal"/>
      <w:lvlText w:val="%9."/>
      <w:lvlJc w:val="left"/>
    </w:lvl>
  </w:abstractNum>
  <w:abstractNum w:abstractNumId="7">
    <w:multiLevelType w:val="hybridMultilevel"/>
    <w:lvl w:ilvl="0" w:tentative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 w:tentative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multiLevelType w:val="multilevel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1212" w:hanging="36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multiLevelType w:val="multilevel"/>
    <w:styleLink w:val="Numbering1"/>
    <w:lvl w:ilvl="0" w:tentative="0">
      <w:start w:val="1"/>
      <w:numFmt w:val="decimal"/>
      <w:lvlText w:val="%1."/>
      <w:lvlJc w:val="left"/>
    </w:lvl>
    <w:lvl w:ilvl="1" w:tentative="0">
      <w:start w:val="1"/>
      <w:numFmt w:val="decimal"/>
      <w:lvlText w:val="%2."/>
      <w:lvlJc w:val="left"/>
    </w:lvl>
    <w:lvl w:ilvl="2" w:tentative="0">
      <w:start w:val="1"/>
      <w:numFmt w:val="decimal"/>
      <w:lvlText w:val="%3."/>
      <w:lvlJc w:val="left"/>
    </w:lvl>
    <w:lvl w:ilvl="3" w:tentative="0">
      <w:start w:val="1"/>
      <w:numFmt w:val="decimal"/>
      <w:lvlText w:val="%4."/>
      <w:lvlJc w:val="left"/>
    </w:lvl>
    <w:lvl w:ilvl="4" w:tentative="0">
      <w:start w:val="1"/>
      <w:numFmt w:val="decimal"/>
      <w:lvlText w:val="%5."/>
      <w:lvlJc w:val="left"/>
    </w:lvl>
    <w:lvl w:ilvl="5" w:tentative="0">
      <w:start w:val="1"/>
      <w:numFmt w:val="decimal"/>
      <w:lvlText w:val="%6."/>
      <w:lvlJc w:val="left"/>
    </w:lvl>
    <w:lvl w:ilvl="6" w:tentative="0">
      <w:start w:val="1"/>
      <w:numFmt w:val="decimal"/>
      <w:lvlText w:val="%7."/>
      <w:lvlJc w:val="left"/>
    </w:lvl>
    <w:lvl w:ilvl="7" w:tentative="0">
      <w:start w:val="1"/>
      <w:numFmt w:val="decimal"/>
      <w:lvlText w:val="%8."/>
      <w:lvlJc w:val="left"/>
    </w:lvl>
    <w:lvl w:ilvl="8" w:tentative="0">
      <w:start w:val="1"/>
      <w:numFmt w:val="decimal"/>
      <w:lvlText w:val="%9."/>
      <w:lvlJc w:val="left"/>
    </w:lvl>
  </w:abstractNum>
  <w:abstractNum w:abstractNumId="13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 w:tentative="0">
      <w:start w:val="1"/>
      <w:numFmt w:val="decimal"/>
      <w:lvlText w:val="%1)"/>
      <w:lvlJc w:val="left"/>
      <w:pPr>
        <w:ind w:left="385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105" w:hanging="360"/>
      </w:pPr>
    </w:lvl>
    <w:lvl w:ilvl="2" w:tentative="1">
      <w:start w:val="1"/>
      <w:numFmt w:val="lowerRoman"/>
      <w:lvlText w:val="%3."/>
      <w:lvlJc w:val="right"/>
      <w:pPr>
        <w:ind w:left="1825" w:hanging="180"/>
      </w:pPr>
    </w:lvl>
    <w:lvl w:ilvl="3" w:tentative="1">
      <w:start w:val="1"/>
      <w:numFmt w:val="decimal"/>
      <w:lvlText w:val="%4."/>
      <w:lvlJc w:val="left"/>
      <w:pPr>
        <w:ind w:left="2545" w:hanging="360"/>
      </w:pPr>
    </w:lvl>
    <w:lvl w:ilvl="4" w:tentative="1">
      <w:start w:val="1"/>
      <w:numFmt w:val="lowerLetter"/>
      <w:lvlText w:val="%5."/>
      <w:lvlJc w:val="left"/>
      <w:pPr>
        <w:ind w:left="3265" w:hanging="360"/>
      </w:pPr>
    </w:lvl>
    <w:lvl w:ilvl="5" w:tentative="1">
      <w:start w:val="1"/>
      <w:numFmt w:val="lowerRoman"/>
      <w:lvlText w:val="%6."/>
      <w:lvlJc w:val="right"/>
      <w:pPr>
        <w:ind w:left="3985" w:hanging="180"/>
      </w:pPr>
    </w:lvl>
    <w:lvl w:ilvl="6" w:tentative="1">
      <w:start w:val="1"/>
      <w:numFmt w:val="decimal"/>
      <w:lvlText w:val="%7."/>
      <w:lvlJc w:val="left"/>
      <w:pPr>
        <w:ind w:left="4705" w:hanging="360"/>
      </w:pPr>
    </w:lvl>
    <w:lvl w:ilvl="7" w:tentative="1">
      <w:start w:val="1"/>
      <w:numFmt w:val="lowerLetter"/>
      <w:lvlText w:val="%8."/>
      <w:lvlJc w:val="left"/>
      <w:pPr>
        <w:ind w:left="5425" w:hanging="360"/>
      </w:pPr>
    </w:lvl>
    <w:lvl w:ilvl="8" w:tentative="1">
      <w:start w:val="1"/>
      <w:numFmt w:val="lowerRoman"/>
      <w:lvlText w:val="%9."/>
      <w:lvlJc w:val="right"/>
      <w:pPr>
        <w:ind w:left="6145" w:hanging="180"/>
      </w:pPr>
    </w:lvl>
  </w:abstractNum>
  <w:abstractNum w:abstractNumId="15">
    <w:multiLevelType w:val="hybridMultilevel"/>
    <w:lvl w:ilvl="0" w:tentative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789" w:hanging="360"/>
      </w:pPr>
    </w:lvl>
    <w:lvl w:ilvl="2" w:tentative="1">
      <w:start w:val="1"/>
      <w:numFmt w:val="lowerRoman"/>
      <w:lvlText w:val="%3."/>
      <w:lvlJc w:val="right"/>
      <w:pPr>
        <w:ind w:left="2509" w:hanging="180"/>
      </w:pPr>
    </w:lvl>
    <w:lvl w:ilvl="3" w:tentative="1">
      <w:start w:val="1"/>
      <w:numFmt w:val="decimal"/>
      <w:lvlText w:val="%4."/>
      <w:lvlJc w:val="left"/>
      <w:pPr>
        <w:ind w:left="3229" w:hanging="360"/>
      </w:pPr>
    </w:lvl>
    <w:lvl w:ilvl="4" w:tentative="1">
      <w:start w:val="1"/>
      <w:numFmt w:val="lowerLetter"/>
      <w:lvlText w:val="%5."/>
      <w:lvlJc w:val="left"/>
      <w:pPr>
        <w:ind w:left="3949" w:hanging="360"/>
      </w:pPr>
    </w:lvl>
    <w:lvl w:ilvl="5" w:tentative="1">
      <w:start w:val="1"/>
      <w:numFmt w:val="lowerRoman"/>
      <w:lvlText w:val="%6."/>
      <w:lvlJc w:val="right"/>
      <w:pPr>
        <w:ind w:left="4669" w:hanging="180"/>
      </w:pPr>
    </w:lvl>
    <w:lvl w:ilvl="6" w:tentative="1">
      <w:start w:val="1"/>
      <w:numFmt w:val="decimal"/>
      <w:lvlText w:val="%7."/>
      <w:lvlJc w:val="left"/>
      <w:pPr>
        <w:ind w:left="5389" w:hanging="360"/>
      </w:pPr>
    </w:lvl>
    <w:lvl w:ilvl="7" w:tentative="1">
      <w:start w:val="1"/>
      <w:numFmt w:val="lowerLetter"/>
      <w:lvlText w:val="%8."/>
      <w:lvlJc w:val="left"/>
      <w:pPr>
        <w:ind w:left="6109" w:hanging="360"/>
      </w:pPr>
    </w:lvl>
    <w:lvl w:ilvl="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off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multiLevelType w:val="hybridMultilevel"/>
    <w:lvl w:ilvl="0" w:tentative="0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multiLevelType w:val="multilevel"/>
    <w:lvl w:ilvl="0" w:tentative="0">
      <w:start w:val="1"/>
      <w:numFmt w:val="decimal"/>
      <w:lvlText w:val="%1."/>
      <w:lvlJc w:val="left"/>
      <w:pPr>
        <w:ind w:left="1684" w:hanging="975"/>
      </w:pPr>
      <w:rPr>
        <w:rFonts w:eastAsia="Times New Roman" w:hint="default"/>
        <w:color w:val="auto"/>
      </w:rPr>
    </w:lvl>
    <w:lvl w:ilvl="1" w:tentative="0">
      <w:start w:val="1"/>
      <w:numFmt w:val="decimal"/>
      <w:isLgl w:val="on"/>
      <w:lvlText w:val="%2."/>
      <w:lvlJc w:val="left"/>
      <w:pPr>
        <w:ind w:left="1069" w:hanging="360"/>
      </w:pPr>
      <w:rPr>
        <w:rFonts w:ascii="Times New Roman" w:cs="Times New Roman" w:eastAsia="Times New Roman" w:hAnsi="Times New Roman"/>
      </w:rPr>
    </w:lvl>
    <w:lvl w:ilvl="2" w:tentative="0">
      <w:start w:val="1"/>
      <w:numFmt w:val="decimal"/>
      <w:isLgl w:val="on"/>
      <w:lvlText w:val="%1.%2.%3."/>
      <w:lvlJc w:val="left"/>
      <w:pPr>
        <w:ind w:left="1429" w:hanging="720"/>
      </w:pPr>
      <w:rPr>
        <w:rFonts w:hint="default"/>
      </w:rPr>
    </w:lvl>
    <w:lvl w:ilvl="3" w:tentative="0">
      <w:start w:val="1"/>
      <w:numFmt w:val="decimal"/>
      <w:isLgl w:val="on"/>
      <w:lvlText w:val="%1.%2.%3.%4."/>
      <w:lvlJc w:val="left"/>
      <w:pPr>
        <w:ind w:left="1429" w:hanging="720"/>
      </w:pPr>
      <w:rPr>
        <w:rFonts w:hint="default"/>
      </w:rPr>
    </w:lvl>
    <w:lvl w:ilvl="4" w:tentative="0">
      <w:start w:val="1"/>
      <w:numFmt w:val="decimal"/>
      <w:isLgl w:val="on"/>
      <w:lvlText w:val="%1.%2.%3.%4.%5."/>
      <w:lvlJc w:val="left"/>
      <w:pPr>
        <w:ind w:left="1789" w:hanging="1080"/>
      </w:pPr>
      <w:rPr>
        <w:rFonts w:hint="default"/>
      </w:rPr>
    </w:lvl>
    <w:lvl w:ilvl="5" w:tentative="0">
      <w:start w:val="1"/>
      <w:numFmt w:val="decimal"/>
      <w:isLgl w:val="on"/>
      <w:lvlText w:val="%1.%2.%3.%4.%5.%6."/>
      <w:lvlJc w:val="left"/>
      <w:pPr>
        <w:ind w:left="1789" w:hanging="1080"/>
      </w:pPr>
      <w:rPr>
        <w:rFonts w:hint="default"/>
      </w:rPr>
    </w:lvl>
    <w:lvl w:ilvl="6" w:tentative="0">
      <w:start w:val="1"/>
      <w:numFmt w:val="decimal"/>
      <w:isLgl w:val="on"/>
      <w:lvlText w:val="%1.%2.%3.%4.%5.%6.%7."/>
      <w:lvlJc w:val="left"/>
      <w:pPr>
        <w:ind w:left="2149" w:hanging="1440"/>
      </w:pPr>
      <w:rPr>
        <w:rFonts w:hint="default"/>
      </w:rPr>
    </w:lvl>
    <w:lvl w:ilvl="7" w:tentative="0">
      <w:start w:val="1"/>
      <w:numFmt w:val="decimal"/>
      <w:isLgl w:val="on"/>
      <w:lvlText w:val="%1.%2.%3.%4.%5.%6.%7.%8."/>
      <w:lvlJc w:val="left"/>
      <w:pPr>
        <w:ind w:left="2149" w:hanging="1440"/>
      </w:pPr>
      <w:rPr>
        <w:rFonts w:hint="default"/>
      </w:rPr>
    </w:lvl>
    <w:lvl w:ilvl="8" w:tentative="0">
      <w:start w:val="1"/>
      <w:numFmt w:val="decimal"/>
      <w:isLgl w:val="on"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3">
    <w:multiLevelType w:val="hybridMultilevel"/>
    <w:lvl w:ilvl="0" w:tentative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 w:tentative="0">
      <w:start w:val="1"/>
      <w:numFmt w:val="decimal"/>
      <w:lvlText w:val="%1."/>
      <w:lvlJc w:val="left"/>
      <w:pPr>
        <w:ind w:left="44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167" w:hanging="360"/>
      </w:pPr>
    </w:lvl>
    <w:lvl w:ilvl="2" w:tentative="1">
      <w:start w:val="1"/>
      <w:numFmt w:val="lowerRoman"/>
      <w:lvlText w:val="%3."/>
      <w:lvlJc w:val="right"/>
      <w:pPr>
        <w:ind w:left="1887" w:hanging="180"/>
      </w:pPr>
    </w:lvl>
    <w:lvl w:ilvl="3" w:tentative="1">
      <w:start w:val="1"/>
      <w:numFmt w:val="decimal"/>
      <w:lvlText w:val="%4."/>
      <w:lvlJc w:val="left"/>
      <w:pPr>
        <w:ind w:left="2607" w:hanging="360"/>
      </w:pPr>
    </w:lvl>
    <w:lvl w:ilvl="4" w:tentative="1">
      <w:start w:val="1"/>
      <w:numFmt w:val="lowerLetter"/>
      <w:lvlText w:val="%5."/>
      <w:lvlJc w:val="left"/>
      <w:pPr>
        <w:ind w:left="3327" w:hanging="360"/>
      </w:pPr>
    </w:lvl>
    <w:lvl w:ilvl="5" w:tentative="1">
      <w:start w:val="1"/>
      <w:numFmt w:val="lowerRoman"/>
      <w:lvlText w:val="%6."/>
      <w:lvlJc w:val="right"/>
      <w:pPr>
        <w:ind w:left="4047" w:hanging="180"/>
      </w:pPr>
    </w:lvl>
    <w:lvl w:ilvl="6" w:tentative="1">
      <w:start w:val="1"/>
      <w:numFmt w:val="decimal"/>
      <w:lvlText w:val="%7."/>
      <w:lvlJc w:val="left"/>
      <w:pPr>
        <w:ind w:left="4767" w:hanging="360"/>
      </w:pPr>
    </w:lvl>
    <w:lvl w:ilvl="7" w:tentative="1">
      <w:start w:val="1"/>
      <w:numFmt w:val="lowerLetter"/>
      <w:lvlText w:val="%8."/>
      <w:lvlJc w:val="left"/>
      <w:pPr>
        <w:ind w:left="5487" w:hanging="360"/>
      </w:pPr>
    </w:lvl>
    <w:lvl w:ilvl="8" w:tentative="1">
      <w:start w:val="1"/>
      <w:numFmt w:val="lowerRoman"/>
      <w:lvlText w:val="%9."/>
      <w:lvlJc w:val="right"/>
      <w:pPr>
        <w:ind w:left="6207" w:hanging="180"/>
      </w:pPr>
    </w:lvl>
  </w:abstractNum>
  <w:abstractNum w:abstractNumId="25">
    <w:multiLevelType w:val="hybridMultilevel"/>
    <w:lvl w:ilvl="0" w:tentative="0">
      <w:start w:val="5"/>
      <w:numFmt w:val="decimal"/>
      <w:lvlText w:val="%1."/>
      <w:lvlJc w:val="left"/>
      <w:pPr>
        <w:ind w:left="447" w:hanging="360"/>
      </w:pPr>
      <w:rPr>
        <w:rFonts w:eastAsia="Andale Sans UI" w:hint="default"/>
      </w:rPr>
    </w:lvl>
    <w:lvl w:ilvl="1" w:tentative="1">
      <w:start w:val="1"/>
      <w:numFmt w:val="lowerLetter"/>
      <w:lvlText w:val="%2."/>
      <w:lvlJc w:val="left"/>
      <w:pPr>
        <w:ind w:left="1167" w:hanging="360"/>
      </w:pPr>
    </w:lvl>
    <w:lvl w:ilvl="2" w:tentative="1">
      <w:start w:val="1"/>
      <w:numFmt w:val="lowerRoman"/>
      <w:lvlText w:val="%3."/>
      <w:lvlJc w:val="right"/>
      <w:pPr>
        <w:ind w:left="1887" w:hanging="180"/>
      </w:pPr>
    </w:lvl>
    <w:lvl w:ilvl="3" w:tentative="1">
      <w:start w:val="1"/>
      <w:numFmt w:val="decimal"/>
      <w:lvlText w:val="%4."/>
      <w:lvlJc w:val="left"/>
      <w:pPr>
        <w:ind w:left="2607" w:hanging="360"/>
      </w:pPr>
    </w:lvl>
    <w:lvl w:ilvl="4" w:tentative="1">
      <w:start w:val="1"/>
      <w:numFmt w:val="lowerLetter"/>
      <w:lvlText w:val="%5."/>
      <w:lvlJc w:val="left"/>
      <w:pPr>
        <w:ind w:left="3327" w:hanging="360"/>
      </w:pPr>
    </w:lvl>
    <w:lvl w:ilvl="5" w:tentative="1">
      <w:start w:val="1"/>
      <w:numFmt w:val="lowerRoman"/>
      <w:lvlText w:val="%6."/>
      <w:lvlJc w:val="right"/>
      <w:pPr>
        <w:ind w:left="4047" w:hanging="180"/>
      </w:pPr>
    </w:lvl>
    <w:lvl w:ilvl="6" w:tentative="1">
      <w:start w:val="1"/>
      <w:numFmt w:val="decimal"/>
      <w:lvlText w:val="%7."/>
      <w:lvlJc w:val="left"/>
      <w:pPr>
        <w:ind w:left="4767" w:hanging="360"/>
      </w:pPr>
    </w:lvl>
    <w:lvl w:ilvl="7" w:tentative="1">
      <w:start w:val="1"/>
      <w:numFmt w:val="lowerLetter"/>
      <w:lvlText w:val="%8."/>
      <w:lvlJc w:val="left"/>
      <w:pPr>
        <w:ind w:left="5487" w:hanging="360"/>
      </w:pPr>
    </w:lvl>
    <w:lvl w:ilvl="8" w:tentative="1">
      <w:start w:val="1"/>
      <w:numFmt w:val="lowerRoman"/>
      <w:lvlText w:val="%9."/>
      <w:lvlJc w:val="right"/>
      <w:pPr>
        <w:ind w:left="6207" w:hanging="180"/>
      </w:pPr>
    </w:lvl>
  </w:abstractNum>
  <w:abstractNum w:abstractNumId="26">
    <w:multiLevelType w:val="hybridMultilevel"/>
    <w:lvl w:ilvl="0" w:tentative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multiLevelType w:val="multilevel"/>
    <w:lvl w:ilvl="0" w:tentative="0">
      <w:start w:val="1"/>
      <w:numFmt w:val="decimal"/>
      <w:lvlText w:val="%1."/>
      <w:lvlJc w:val="left"/>
      <w:pPr>
        <w:ind w:left="1700" w:hanging="990"/>
      </w:pPr>
      <w:rPr>
        <w:rFonts w:ascii="Times New Roman" w:cs="Times New Roman" w:eastAsia="Times New Roman" w:hAnsi="Times New Roman"/>
      </w:rPr>
    </w:lvl>
    <w:lvl w:ilvl="1" w:tentative="0">
      <w:start w:val="1"/>
      <w:numFmt w:val="decimal"/>
      <w:isLgl w:val="on"/>
      <w:lvlText w:val="%1.%2"/>
      <w:lvlJc w:val="left"/>
      <w:pPr>
        <w:ind w:left="1210" w:hanging="360"/>
      </w:pPr>
    </w:lvl>
    <w:lvl w:ilvl="2" w:tentative="0">
      <w:start w:val="1"/>
      <w:numFmt w:val="decimal"/>
      <w:isLgl w:val="on"/>
      <w:lvlText w:val="%1.%2.%3"/>
      <w:lvlJc w:val="left"/>
      <w:pPr>
        <w:ind w:left="1713" w:hanging="720"/>
      </w:pPr>
    </w:lvl>
    <w:lvl w:ilvl="3" w:tentative="0">
      <w:start w:val="1"/>
      <w:numFmt w:val="decimal"/>
      <w:isLgl w:val="on"/>
      <w:lvlText w:val="%1.%2.%3.%4"/>
      <w:lvlJc w:val="left"/>
      <w:pPr>
        <w:ind w:left="1855" w:hanging="720"/>
      </w:pPr>
    </w:lvl>
    <w:lvl w:ilvl="4" w:tentative="0">
      <w:start w:val="1"/>
      <w:numFmt w:val="decimal"/>
      <w:isLgl w:val="on"/>
      <w:lvlText w:val="%1.%2.%3.%4.%5"/>
      <w:lvlJc w:val="left"/>
      <w:pPr>
        <w:ind w:left="2357" w:hanging="1080"/>
      </w:pPr>
    </w:lvl>
    <w:lvl w:ilvl="5" w:tentative="0">
      <w:start w:val="1"/>
      <w:numFmt w:val="decimal"/>
      <w:isLgl w:val="on"/>
      <w:lvlText w:val="%1.%2.%3.%4.%5.%6"/>
      <w:lvlJc w:val="left"/>
      <w:pPr>
        <w:ind w:left="2499" w:hanging="1080"/>
      </w:pPr>
    </w:lvl>
    <w:lvl w:ilvl="6" w:tentative="0">
      <w:start w:val="1"/>
      <w:numFmt w:val="decimal"/>
      <w:isLgl w:val="on"/>
      <w:lvlText w:val="%1.%2.%3.%4.%5.%6.%7"/>
      <w:lvlJc w:val="left"/>
      <w:pPr>
        <w:ind w:left="3001" w:hanging="1440"/>
      </w:pPr>
    </w:lvl>
    <w:lvl w:ilvl="7" w:tentative="0">
      <w:start w:val="1"/>
      <w:numFmt w:val="decimal"/>
      <w:isLgl w:val="on"/>
      <w:lvlText w:val="%1.%2.%3.%4.%5.%6.%7.%8"/>
      <w:lvlJc w:val="left"/>
      <w:pPr>
        <w:ind w:left="3143" w:hanging="1440"/>
      </w:pPr>
    </w:lvl>
    <w:lvl w:ilvl="8" w:tentative="0">
      <w:start w:val="1"/>
      <w:numFmt w:val="decimal"/>
      <w:isLgl w:val="on"/>
      <w:lvlText w:val="%1.%2.%3.%4.%5.%6.%7.%8.%9"/>
      <w:lvlJc w:val="left"/>
      <w:pPr>
        <w:ind w:left="3645" w:hanging="1800"/>
      </w:pPr>
    </w:lvl>
  </w:abstractNum>
  <w:abstractNum w:abstractNumId="31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multiLevelType w:val="hybridMultilevel"/>
    <w:lvl w:ilvl="0" w:tentative="0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</w:num>
  <w:num w:numId="3">
    <w:abstractNumId w:val="18"/>
  </w:num>
  <w:num w:numId="4">
    <w:abstractNumId w:val="14"/>
  </w:num>
  <w:num w:numId="5">
    <w:abstractNumId w:val="32"/>
  </w:num>
  <w:num w:numId="6">
    <w:abstractNumId w:val="19"/>
  </w:num>
  <w:num w:numId="7">
    <w:abstractNumId w:val="26"/>
  </w:num>
  <w:num w:numId="8">
    <w:abstractNumId w:val="9"/>
  </w:num>
  <w:num w:numId="9">
    <w:abstractNumId w:val="23"/>
  </w:num>
  <w:num w:numId="10">
    <w:abstractNumId w:val="5"/>
  </w:num>
  <w:num w:numId="11">
    <w:abstractNumId w:val="10"/>
  </w:num>
  <w:num w:numId="12">
    <w:abstractNumId w:val="22"/>
  </w:num>
  <w:num w:numId="1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0"/>
  </w:num>
  <w:num w:numId="16">
    <w:abstractNumId w:val="17"/>
  </w:num>
  <w:num w:numId="17">
    <w:abstractNumId w:val="28"/>
  </w:num>
  <w:num w:numId="18">
    <w:abstractNumId w:val="21"/>
  </w:num>
  <w:num w:numId="19">
    <w:abstractNumId w:val="8"/>
  </w:num>
  <w:num w:numId="20">
    <w:abstractNumId w:val="3"/>
  </w:num>
  <w:num w:numId="21">
    <w:abstractNumId w:val="27"/>
  </w:num>
  <w:num w:numId="22">
    <w:abstractNumId w:val="1"/>
  </w:num>
  <w:num w:numId="23">
    <w:abstractNumId w:val="16"/>
  </w:num>
  <w:num w:numId="24">
    <w:abstractNumId w:val="13"/>
  </w:num>
  <w:num w:numId="25">
    <w:abstractNumId w:val="29"/>
  </w:num>
  <w:num w:numId="26">
    <w:abstractNumId w:val="4"/>
  </w:num>
  <w:num w:numId="27">
    <w:abstractNumId w:val="25"/>
  </w:num>
  <w:num w:numId="28">
    <w:abstractNumId w:val="11"/>
  </w:num>
  <w:num w:numId="29">
    <w:abstractNumId w:val="24"/>
  </w:num>
  <w:num w:numId="30">
    <w:abstractNumId w:val="2"/>
  </w:num>
  <w:num w:numId="31">
    <w:abstractNumId w:val="31"/>
  </w:num>
  <w:num w:numId="32">
    <w:abstractNumId w:val="15"/>
  </w:num>
  <w:num w:numId="3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6"/>
  <w:characterSpacingControl w:val="doNotCompress"/>
  <w:hdrShapeDefaults>
    <o:shapedefaults v:ext="edit" spidmax="3074"/>
  </w:hdrShapeDefaults>
  <w:compat/>
  <w:rsids>
    <w:rsidRoot w:val="00B4429F"/>
    <w:rsid w:val="00000014"/>
    <w:rsid w:val="00000434"/>
    <w:rsid w:val="000043B0"/>
    <w:rsid w:val="000065CE"/>
    <w:rsid w:val="00007C00"/>
    <w:rsid w:val="000108FD"/>
    <w:rsid w:val="0001468D"/>
    <w:rsid w:val="00027D8B"/>
    <w:rsid w:val="000348B9"/>
    <w:rsid w:val="000435BC"/>
    <w:rsid w:val="00046CE7"/>
    <w:rsid w:val="00050A3B"/>
    <w:rsid w:val="00051192"/>
    <w:rsid w:val="00054520"/>
    <w:rsid w:val="0005506C"/>
    <w:rsid w:val="00055A3F"/>
    <w:rsid w:val="000603CC"/>
    <w:rsid w:val="00080273"/>
    <w:rsid w:val="00081162"/>
    <w:rsid w:val="00081D58"/>
    <w:rsid w:val="00086FCE"/>
    <w:rsid w:val="000A4B5D"/>
    <w:rsid w:val="000B0E00"/>
    <w:rsid w:val="000B2809"/>
    <w:rsid w:val="000C77DD"/>
    <w:rsid w:val="000D0DF5"/>
    <w:rsid w:val="000D1523"/>
    <w:rsid w:val="000E127F"/>
    <w:rsid w:val="000E12D8"/>
    <w:rsid w:val="000E39E5"/>
    <w:rsid w:val="000F6A60"/>
    <w:rsid w:val="000F6D8D"/>
    <w:rsid w:val="00100937"/>
    <w:rsid w:val="00104D6D"/>
    <w:rsid w:val="00105F1D"/>
    <w:rsid w:val="001153BA"/>
    <w:rsid w:val="00116290"/>
    <w:rsid w:val="001179DD"/>
    <w:rsid w:val="00141F95"/>
    <w:rsid w:val="00145CE6"/>
    <w:rsid w:val="00150AB8"/>
    <w:rsid w:val="0015400C"/>
    <w:rsid w:val="00161F5A"/>
    <w:rsid w:val="001639BA"/>
    <w:rsid w:val="00177A6E"/>
    <w:rsid w:val="00177F1F"/>
    <w:rsid w:val="00182D8B"/>
    <w:rsid w:val="00183019"/>
    <w:rsid w:val="001924F8"/>
    <w:rsid w:val="001A03E6"/>
    <w:rsid w:val="001A2473"/>
    <w:rsid w:val="001A54C9"/>
    <w:rsid w:val="001B1C67"/>
    <w:rsid w:val="001B7B1E"/>
    <w:rsid w:val="001C1FB8"/>
    <w:rsid w:val="001C703E"/>
    <w:rsid w:val="001E01DB"/>
    <w:rsid w:val="001E1049"/>
    <w:rsid w:val="001E17A4"/>
    <w:rsid w:val="001E30DD"/>
    <w:rsid w:val="002037C1"/>
    <w:rsid w:val="00205770"/>
    <w:rsid w:val="002108D6"/>
    <w:rsid w:val="00210BAC"/>
    <w:rsid w:val="00214B98"/>
    <w:rsid w:val="00217908"/>
    <w:rsid w:val="00223F6A"/>
    <w:rsid w:val="002252BD"/>
    <w:rsid w:val="002312E4"/>
    <w:rsid w:val="0023279A"/>
    <w:rsid w:val="002338CD"/>
    <w:rsid w:val="00251492"/>
    <w:rsid w:val="00255754"/>
    <w:rsid w:val="0027404A"/>
    <w:rsid w:val="00275323"/>
    <w:rsid w:val="0028062B"/>
    <w:rsid w:val="002A3C7E"/>
    <w:rsid w:val="002B08D1"/>
    <w:rsid w:val="002B30F8"/>
    <w:rsid w:val="002B5DB4"/>
    <w:rsid w:val="002C1EFC"/>
    <w:rsid w:val="002C58FB"/>
    <w:rsid w:val="002D1395"/>
    <w:rsid w:val="002D2EA3"/>
    <w:rsid w:val="002D439B"/>
    <w:rsid w:val="002E0EAA"/>
    <w:rsid w:val="002E2530"/>
    <w:rsid w:val="002E4AA0"/>
    <w:rsid w:val="002E5E2E"/>
    <w:rsid w:val="002E6DF4"/>
    <w:rsid w:val="00303869"/>
    <w:rsid w:val="00306176"/>
    <w:rsid w:val="00317FF0"/>
    <w:rsid w:val="00336C85"/>
    <w:rsid w:val="00356375"/>
    <w:rsid w:val="003627D6"/>
    <w:rsid w:val="0036506F"/>
    <w:rsid w:val="003655C5"/>
    <w:rsid w:val="0036628C"/>
    <w:rsid w:val="003849AA"/>
    <w:rsid w:val="003864B7"/>
    <w:rsid w:val="0039121A"/>
    <w:rsid w:val="00393740"/>
    <w:rsid w:val="00396F2C"/>
    <w:rsid w:val="00397C54"/>
    <w:rsid w:val="003A14E1"/>
    <w:rsid w:val="003A4FB3"/>
    <w:rsid w:val="003A5291"/>
    <w:rsid w:val="003A7E7B"/>
    <w:rsid w:val="003B26C3"/>
    <w:rsid w:val="003B4B78"/>
    <w:rsid w:val="003B534F"/>
    <w:rsid w:val="003C38E7"/>
    <w:rsid w:val="003D483C"/>
    <w:rsid w:val="003D7A4A"/>
    <w:rsid w:val="003F4200"/>
    <w:rsid w:val="003F4777"/>
    <w:rsid w:val="0041193F"/>
    <w:rsid w:val="004125A8"/>
    <w:rsid w:val="00415DEC"/>
    <w:rsid w:val="00417F95"/>
    <w:rsid w:val="00421B10"/>
    <w:rsid w:val="00460280"/>
    <w:rsid w:val="00460C99"/>
    <w:rsid w:val="00466067"/>
    <w:rsid w:val="0047138A"/>
    <w:rsid w:val="00474B57"/>
    <w:rsid w:val="0047572B"/>
    <w:rsid w:val="00476478"/>
    <w:rsid w:val="00481818"/>
    <w:rsid w:val="004902EE"/>
    <w:rsid w:val="00492A4C"/>
    <w:rsid w:val="004B0CF9"/>
    <w:rsid w:val="004B136E"/>
    <w:rsid w:val="004B5373"/>
    <w:rsid w:val="004D4CEB"/>
    <w:rsid w:val="004F59A0"/>
    <w:rsid w:val="004F5C9D"/>
    <w:rsid w:val="00502443"/>
    <w:rsid w:val="00513DD5"/>
    <w:rsid w:val="005155DE"/>
    <w:rsid w:val="0052272B"/>
    <w:rsid w:val="00525278"/>
    <w:rsid w:val="00527E14"/>
    <w:rsid w:val="00530A7B"/>
    <w:rsid w:val="005320A7"/>
    <w:rsid w:val="0053746E"/>
    <w:rsid w:val="00540B69"/>
    <w:rsid w:val="0054726E"/>
    <w:rsid w:val="00547B4A"/>
    <w:rsid w:val="00565802"/>
    <w:rsid w:val="0056643B"/>
    <w:rsid w:val="00567857"/>
    <w:rsid w:val="00570484"/>
    <w:rsid w:val="0057073C"/>
    <w:rsid w:val="00581739"/>
    <w:rsid w:val="0058460E"/>
    <w:rsid w:val="0059217B"/>
    <w:rsid w:val="005A4988"/>
    <w:rsid w:val="005A5ECE"/>
    <w:rsid w:val="005B4A93"/>
    <w:rsid w:val="005B5786"/>
    <w:rsid w:val="005B77FF"/>
    <w:rsid w:val="005C4FC3"/>
    <w:rsid w:val="005D3D28"/>
    <w:rsid w:val="005E0678"/>
    <w:rsid w:val="005E15F4"/>
    <w:rsid w:val="005E56FD"/>
    <w:rsid w:val="005E6076"/>
    <w:rsid w:val="005F2D5E"/>
    <w:rsid w:val="00604E20"/>
    <w:rsid w:val="00610A28"/>
    <w:rsid w:val="00615F34"/>
    <w:rsid w:val="006246BD"/>
    <w:rsid w:val="0062581D"/>
    <w:rsid w:val="00627B98"/>
    <w:rsid w:val="00632744"/>
    <w:rsid w:val="006340FE"/>
    <w:rsid w:val="00637009"/>
    <w:rsid w:val="00643095"/>
    <w:rsid w:val="006503DF"/>
    <w:rsid w:val="00657312"/>
    <w:rsid w:val="00666244"/>
    <w:rsid w:val="00670E8C"/>
    <w:rsid w:val="006768A5"/>
    <w:rsid w:val="0068403F"/>
    <w:rsid w:val="00687879"/>
    <w:rsid w:val="0069554E"/>
    <w:rsid w:val="00695F35"/>
    <w:rsid w:val="006A5535"/>
    <w:rsid w:val="006B6030"/>
    <w:rsid w:val="006C1243"/>
    <w:rsid w:val="006D58BF"/>
    <w:rsid w:val="006F2075"/>
    <w:rsid w:val="006F25C4"/>
    <w:rsid w:val="007006D1"/>
    <w:rsid w:val="00701100"/>
    <w:rsid w:val="007013A7"/>
    <w:rsid w:val="00702668"/>
    <w:rsid w:val="0070432F"/>
    <w:rsid w:val="00704380"/>
    <w:rsid w:val="007107BB"/>
    <w:rsid w:val="00714504"/>
    <w:rsid w:val="00733208"/>
    <w:rsid w:val="00741DF2"/>
    <w:rsid w:val="00747D6F"/>
    <w:rsid w:val="0075126E"/>
    <w:rsid w:val="00751D78"/>
    <w:rsid w:val="00755D79"/>
    <w:rsid w:val="007606BA"/>
    <w:rsid w:val="00760DE1"/>
    <w:rsid w:val="007621F0"/>
    <w:rsid w:val="007638DA"/>
    <w:rsid w:val="00767D3F"/>
    <w:rsid w:val="007703B6"/>
    <w:rsid w:val="00777E74"/>
    <w:rsid w:val="00782CAA"/>
    <w:rsid w:val="007935DD"/>
    <w:rsid w:val="00793C13"/>
    <w:rsid w:val="007B02E9"/>
    <w:rsid w:val="007B0849"/>
    <w:rsid w:val="007B2D56"/>
    <w:rsid w:val="007B76F1"/>
    <w:rsid w:val="007D294C"/>
    <w:rsid w:val="007D3116"/>
    <w:rsid w:val="007D7D97"/>
    <w:rsid w:val="007E1003"/>
    <w:rsid w:val="007E2275"/>
    <w:rsid w:val="007F462E"/>
    <w:rsid w:val="008024F3"/>
    <w:rsid w:val="008110AA"/>
    <w:rsid w:val="0081588B"/>
    <w:rsid w:val="00820FAE"/>
    <w:rsid w:val="00826AB3"/>
    <w:rsid w:val="00826DCF"/>
    <w:rsid w:val="00831FE7"/>
    <w:rsid w:val="008433AB"/>
    <w:rsid w:val="00846862"/>
    <w:rsid w:val="00866DFE"/>
    <w:rsid w:val="008722E1"/>
    <w:rsid w:val="00876161"/>
    <w:rsid w:val="00876BA1"/>
    <w:rsid w:val="008901CA"/>
    <w:rsid w:val="00892F0F"/>
    <w:rsid w:val="008958DC"/>
    <w:rsid w:val="008B3F8F"/>
    <w:rsid w:val="008B44A4"/>
    <w:rsid w:val="008D0511"/>
    <w:rsid w:val="008D7A42"/>
    <w:rsid w:val="008D7CD3"/>
    <w:rsid w:val="008F5C84"/>
    <w:rsid w:val="009012C3"/>
    <w:rsid w:val="00903B9C"/>
    <w:rsid w:val="00910654"/>
    <w:rsid w:val="00915550"/>
    <w:rsid w:val="00915867"/>
    <w:rsid w:val="00916B42"/>
    <w:rsid w:val="00926D47"/>
    <w:rsid w:val="009300E3"/>
    <w:rsid w:val="00933BEF"/>
    <w:rsid w:val="009422A1"/>
    <w:rsid w:val="00944175"/>
    <w:rsid w:val="009469E9"/>
    <w:rsid w:val="009600B9"/>
    <w:rsid w:val="009604AD"/>
    <w:rsid w:val="009705EF"/>
    <w:rsid w:val="00975785"/>
    <w:rsid w:val="009A2676"/>
    <w:rsid w:val="009A5988"/>
    <w:rsid w:val="009A6E71"/>
    <w:rsid w:val="009B340B"/>
    <w:rsid w:val="009B786E"/>
    <w:rsid w:val="009B7AC9"/>
    <w:rsid w:val="009C5130"/>
    <w:rsid w:val="009C5D39"/>
    <w:rsid w:val="009D09F3"/>
    <w:rsid w:val="009D0F83"/>
    <w:rsid w:val="009F0467"/>
    <w:rsid w:val="009F2096"/>
    <w:rsid w:val="009F52C4"/>
    <w:rsid w:val="00A06EE0"/>
    <w:rsid w:val="00A10C7D"/>
    <w:rsid w:val="00A1535F"/>
    <w:rsid w:val="00A278BA"/>
    <w:rsid w:val="00A41E8B"/>
    <w:rsid w:val="00A4610E"/>
    <w:rsid w:val="00A50922"/>
    <w:rsid w:val="00A62B7B"/>
    <w:rsid w:val="00A72786"/>
    <w:rsid w:val="00A7769A"/>
    <w:rsid w:val="00A80020"/>
    <w:rsid w:val="00A811E3"/>
    <w:rsid w:val="00A83591"/>
    <w:rsid w:val="00A8451E"/>
    <w:rsid w:val="00A8475D"/>
    <w:rsid w:val="00A878E6"/>
    <w:rsid w:val="00A95E1C"/>
    <w:rsid w:val="00AA27E9"/>
    <w:rsid w:val="00AA77EC"/>
    <w:rsid w:val="00AB2884"/>
    <w:rsid w:val="00AB3537"/>
    <w:rsid w:val="00AB7701"/>
    <w:rsid w:val="00AC2169"/>
    <w:rsid w:val="00AC3060"/>
    <w:rsid w:val="00AC52A2"/>
    <w:rsid w:val="00AC7178"/>
    <w:rsid w:val="00AD13A1"/>
    <w:rsid w:val="00AE5261"/>
    <w:rsid w:val="00B007E3"/>
    <w:rsid w:val="00B015F8"/>
    <w:rsid w:val="00B03FF1"/>
    <w:rsid w:val="00B04D3E"/>
    <w:rsid w:val="00B069E2"/>
    <w:rsid w:val="00B07D6E"/>
    <w:rsid w:val="00B14D6D"/>
    <w:rsid w:val="00B14DB7"/>
    <w:rsid w:val="00B206AC"/>
    <w:rsid w:val="00B24D95"/>
    <w:rsid w:val="00B34BAD"/>
    <w:rsid w:val="00B37893"/>
    <w:rsid w:val="00B4429F"/>
    <w:rsid w:val="00B556CC"/>
    <w:rsid w:val="00B60199"/>
    <w:rsid w:val="00B6089F"/>
    <w:rsid w:val="00B826BB"/>
    <w:rsid w:val="00B91858"/>
    <w:rsid w:val="00B9798E"/>
    <w:rsid w:val="00BA107A"/>
    <w:rsid w:val="00BA2D12"/>
    <w:rsid w:val="00BA2D5A"/>
    <w:rsid w:val="00BA5AA1"/>
    <w:rsid w:val="00BA6834"/>
    <w:rsid w:val="00BC4D22"/>
    <w:rsid w:val="00BC5A9E"/>
    <w:rsid w:val="00BD026F"/>
    <w:rsid w:val="00BE41F3"/>
    <w:rsid w:val="00BE5295"/>
    <w:rsid w:val="00BF01B9"/>
    <w:rsid w:val="00BF4EB1"/>
    <w:rsid w:val="00C00597"/>
    <w:rsid w:val="00C05990"/>
    <w:rsid w:val="00C06461"/>
    <w:rsid w:val="00C07988"/>
    <w:rsid w:val="00C10915"/>
    <w:rsid w:val="00C178B0"/>
    <w:rsid w:val="00C24F06"/>
    <w:rsid w:val="00C25FA1"/>
    <w:rsid w:val="00C26E43"/>
    <w:rsid w:val="00C361E7"/>
    <w:rsid w:val="00C41B60"/>
    <w:rsid w:val="00C504C6"/>
    <w:rsid w:val="00C5190E"/>
    <w:rsid w:val="00C556F8"/>
    <w:rsid w:val="00C6448E"/>
    <w:rsid w:val="00C66DCC"/>
    <w:rsid w:val="00C76633"/>
    <w:rsid w:val="00C7663B"/>
    <w:rsid w:val="00C7684C"/>
    <w:rsid w:val="00C94E11"/>
    <w:rsid w:val="00CA316A"/>
    <w:rsid w:val="00CB2DE4"/>
    <w:rsid w:val="00CC3D29"/>
    <w:rsid w:val="00CC3FF2"/>
    <w:rsid w:val="00CE0B39"/>
    <w:rsid w:val="00CF166E"/>
    <w:rsid w:val="00CF68D7"/>
    <w:rsid w:val="00D05CF8"/>
    <w:rsid w:val="00D06A3D"/>
    <w:rsid w:val="00D11638"/>
    <w:rsid w:val="00D13924"/>
    <w:rsid w:val="00D171DA"/>
    <w:rsid w:val="00D172AC"/>
    <w:rsid w:val="00D25803"/>
    <w:rsid w:val="00D27FE1"/>
    <w:rsid w:val="00D3114D"/>
    <w:rsid w:val="00D34FED"/>
    <w:rsid w:val="00D500D2"/>
    <w:rsid w:val="00D50806"/>
    <w:rsid w:val="00D51968"/>
    <w:rsid w:val="00D54E01"/>
    <w:rsid w:val="00D5501D"/>
    <w:rsid w:val="00D61D43"/>
    <w:rsid w:val="00D733F5"/>
    <w:rsid w:val="00D76E71"/>
    <w:rsid w:val="00D806E3"/>
    <w:rsid w:val="00D82667"/>
    <w:rsid w:val="00D900EA"/>
    <w:rsid w:val="00D92144"/>
    <w:rsid w:val="00DA002E"/>
    <w:rsid w:val="00DA05FF"/>
    <w:rsid w:val="00DA41CE"/>
    <w:rsid w:val="00DA69AF"/>
    <w:rsid w:val="00DB1520"/>
    <w:rsid w:val="00DB3CAD"/>
    <w:rsid w:val="00DC3514"/>
    <w:rsid w:val="00DD3B15"/>
    <w:rsid w:val="00DE49A3"/>
    <w:rsid w:val="00DF00C7"/>
    <w:rsid w:val="00DF176D"/>
    <w:rsid w:val="00E04C8D"/>
    <w:rsid w:val="00E1063E"/>
    <w:rsid w:val="00E26CD6"/>
    <w:rsid w:val="00E2738D"/>
    <w:rsid w:val="00E37ADA"/>
    <w:rsid w:val="00E53D6B"/>
    <w:rsid w:val="00E56E95"/>
    <w:rsid w:val="00E70DCD"/>
    <w:rsid w:val="00E7485B"/>
    <w:rsid w:val="00E7605E"/>
    <w:rsid w:val="00E7673E"/>
    <w:rsid w:val="00E851C9"/>
    <w:rsid w:val="00E92455"/>
    <w:rsid w:val="00E93360"/>
    <w:rsid w:val="00E94A15"/>
    <w:rsid w:val="00EA1357"/>
    <w:rsid w:val="00EA1B09"/>
    <w:rsid w:val="00EA1DEC"/>
    <w:rsid w:val="00EA4D97"/>
    <w:rsid w:val="00EA679C"/>
    <w:rsid w:val="00EA75BE"/>
    <w:rsid w:val="00EB0978"/>
    <w:rsid w:val="00EC22FC"/>
    <w:rsid w:val="00EC7337"/>
    <w:rsid w:val="00ED08C0"/>
    <w:rsid w:val="00EE145C"/>
    <w:rsid w:val="00EF0905"/>
    <w:rsid w:val="00EF37CD"/>
    <w:rsid w:val="00EF79F0"/>
    <w:rsid w:val="00F009F0"/>
    <w:rsid w:val="00F07072"/>
    <w:rsid w:val="00F123C9"/>
    <w:rsid w:val="00F164A2"/>
    <w:rsid w:val="00F174EB"/>
    <w:rsid w:val="00F2531D"/>
    <w:rsid w:val="00F25392"/>
    <w:rsid w:val="00F26283"/>
    <w:rsid w:val="00F26947"/>
    <w:rsid w:val="00F30AFB"/>
    <w:rsid w:val="00F34B2E"/>
    <w:rsid w:val="00F35D5A"/>
    <w:rsid w:val="00F44594"/>
    <w:rsid w:val="00F46237"/>
    <w:rsid w:val="00F52F79"/>
    <w:rsid w:val="00F53390"/>
    <w:rsid w:val="00F55DA7"/>
    <w:rsid w:val="00F733E9"/>
    <w:rsid w:val="00F83CC6"/>
    <w:rsid w:val="00F939EF"/>
    <w:rsid w:val="00F95C8B"/>
    <w:rsid w:val="00FA6FE6"/>
    <w:rsid w:val="00FB3BC5"/>
    <w:rsid w:val="00FC2F57"/>
    <w:rsid w:val="00FD1199"/>
    <w:rsid w:val="00FE0D61"/>
    <w:rsid w:val="00FF4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ahoma" w:eastAsia="Andale Sans UI" w:hAnsi="Times New Roman"/>
        <w:lang w:val="ru-RU" w:bidi="ar-SA" w:eastAsia="ru-RU"/>
      </w:rPr>
    </w:rPrDefault>
    <w:pPrDefault/>
  </w:docDefaults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default="1" w:styleId="Normal">
    <w:name w:val="Normal"/>
    <w:uiPriority w:val="99"/>
    <w:pPr>
      <w:widowControl w:val="off"/>
    </w:pPr>
    <w:rPr>
      <w:color w:val="000000"/>
      <w:sz w:val="24"/>
      <w:szCs w:val="24"/>
      <w:lang w:val="de-DE" w:bidi="fa-IR" w:eastAsia="ar-SA"/>
    </w:rPr>
  </w:style>
  <w:style w:type="paragraph" w:styleId="Heading1">
    <w:name w:val="Heading 1"/>
    <w:basedOn w:val="Standard"/>
    <w:next w:val="Standard"/>
    <w:link w:val="Заголовок1Знак"/>
    <w:uiPriority w:val="99"/>
    <w:pPr>
      <w:keepNext w:val="on"/>
      <w:jc w:val="right"/>
    </w:pPr>
    <w:rPr>
      <w:sz w:val="28"/>
    </w:rPr>
  </w:style>
  <w:style w:type="paragraph" w:styleId="Heading2">
    <w:name w:val="Heading 2"/>
    <w:basedOn w:val="Standard"/>
    <w:next w:val="Standard"/>
    <w:uiPriority w:val="99"/>
    <w:pPr>
      <w:keepNext w:val="on"/>
      <w:spacing w:before="240" w:after="60"/>
    </w:pPr>
    <w:rPr>
      <w:rFonts w:ascii="Arial" w:cs="Arial" w:hAnsi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Standard">
    <w:name w:val="Standard"/>
    <w:uiPriority w:val="99"/>
    <w:pPr>
      <w:widowControl w:val="off"/>
    </w:pPr>
    <w:rPr>
      <w:sz w:val="24"/>
      <w:szCs w:val="24"/>
      <w:lang w:val="de-DE" w:bidi="fa-IR" w:eastAsia="ja-JP"/>
    </w:rPr>
  </w:style>
  <w:style w:type="paragraph" w:customStyle="1" w:styleId="Heading">
    <w:name w:val="Heading"/>
    <w:basedOn w:val="Standard"/>
    <w:next w:val="Textbody"/>
    <w:uiPriority w:val="99"/>
    <w:pPr>
      <w:keepNext w:val="on"/>
      <w:spacing w:before="240" w:after="120"/>
    </w:pPr>
    <w:rPr>
      <w:rFonts w:ascii="Arial" w:eastAsia="MS Mincho" w:hAnsi="Arial"/>
      <w:sz w:val="28"/>
      <w:szCs w:val="28"/>
    </w:rPr>
  </w:style>
  <w:style w:type="paragraph" w:customStyle="1" w:styleId="Textbody">
    <w:name w:val="Text body"/>
    <w:basedOn w:val="Standard"/>
    <w:uiPriority w:val="99"/>
    <w:pPr>
      <w:spacing w:after="120"/>
    </w:pPr>
  </w:style>
  <w:style w:type="paragraph" w:styleId="Title">
    <w:name w:val="Title"/>
    <w:basedOn w:val="Standard"/>
    <w:next w:val="Textbody"/>
    <w:uiPriority w:val="99"/>
    <w:pPr>
      <w:keepNext w:val="on"/>
      <w:spacing w:before="240" w:after="120"/>
    </w:pPr>
    <w:rPr>
      <w:rFonts w:ascii="Arial" w:hAnsi="Arial"/>
      <w:sz w:val="28"/>
      <w:szCs w:val="28"/>
    </w:rPr>
  </w:style>
  <w:style w:type="paragraph" w:styleId="Subtitle">
    <w:name w:val="Subtitle"/>
    <w:basedOn w:val="Title"/>
    <w:next w:val="Textbody"/>
    <w:uiPriority w:val="99"/>
    <w:pPr>
      <w:jc w:val="center"/>
    </w:pPr>
    <w:rPr>
      <w:i/>
      <w:iCs/>
    </w:rPr>
  </w:style>
  <w:style w:type="paragraph" w:styleId="List">
    <w:name w:val="List"/>
    <w:basedOn w:val="Textbody"/>
    <w:uiPriority w:val="99"/>
  </w:style>
  <w:style w:type="paragraph" w:styleId="Caption">
    <w:name w:val="Caption"/>
    <w:basedOn w:val="Standard"/>
    <w:uiPriority w:val="99"/>
    <w:pPr>
      <w:spacing w:before="120" w:after="120"/>
    </w:pPr>
    <w:rPr>
      <w:i/>
      <w:iCs/>
    </w:rPr>
  </w:style>
  <w:style w:type="paragraph" w:customStyle="1" w:styleId="Index">
    <w:name w:val="Index"/>
    <w:basedOn w:val="Standard"/>
    <w:uiPriority w:val="99"/>
    <w:pPr/>
  </w:style>
  <w:style w:type="paragraph" w:styleId="Header">
    <w:name w:val="Header"/>
    <w:basedOn w:val="Standard"/>
    <w:link w:val="ВерхнийколонтитулЗнак"/>
    <w:uiPriority w:val="99"/>
    <w:pPr>
      <w:tabs>
        <w:tab w:val="center" w:pos="4677"/>
        <w:tab w:val="right" w:pos="9355"/>
      </w:tabs>
    </w:pPr>
  </w:style>
  <w:style w:type="paragraph" w:styleId="Footer">
    <w:name w:val="Footer"/>
    <w:basedOn w:val="Standard"/>
    <w:uiPriority w:val="99"/>
    <w:pPr>
      <w:tabs>
        <w:tab w:val="center" w:pos="4677"/>
        <w:tab w:val="right" w:pos="9355"/>
      </w:tabs>
    </w:pPr>
  </w:style>
  <w:style w:type="paragraph" w:customStyle="1" w:styleId="Названиеобъекта1">
    <w:name w:val="Название объекта1"/>
    <w:basedOn w:val="Standard"/>
    <w:next w:val="Standard"/>
    <w:uiPriority w:val="99"/>
    <w:pPr>
      <w:jc w:val="center"/>
    </w:pPr>
    <w:rPr>
      <w:b/>
      <w:szCs w:val="20"/>
    </w:rPr>
  </w:style>
  <w:style w:type="paragraph" w:customStyle="1" w:styleId="Textbodyindent">
    <w:name w:val="Text body indent"/>
    <w:basedOn w:val="Standard"/>
    <w:uiPriority w:val="99"/>
    <w:pPr>
      <w:ind w:firstLine="709"/>
    </w:pPr>
    <w:rPr>
      <w:color w:val="0000ff"/>
      <w:sz w:val="27"/>
    </w:rPr>
  </w:style>
  <w:style w:type="paragraph" w:customStyle="1" w:styleId="TableContents">
    <w:name w:val="Table Contents"/>
    <w:basedOn w:val="Standard"/>
    <w:uiPriority w:val="99"/>
    <w:pPr/>
  </w:style>
  <w:style w:type="paragraph" w:customStyle="1" w:styleId="ConsPlusCell">
    <w:name w:val="ConsPlusCell"/>
    <w:uiPriority w:val="99"/>
    <w:pPr>
      <w:widowControl w:val="off"/>
    </w:pPr>
    <w:rPr>
      <w:rFonts w:ascii="Calibri" w:cs="Calibri" w:eastAsia="Arial" w:hAnsi="Calibri"/>
      <w:sz w:val="22"/>
      <w:szCs w:val="22"/>
      <w:lang w:eastAsia="zh-CN"/>
    </w:rPr>
  </w:style>
  <w:style w:type="paragraph" w:customStyle="1" w:styleId="TableHeading">
    <w:name w:val="Table Heading"/>
    <w:basedOn w:val="TableContents"/>
    <w:uiPriority w:val="99"/>
    <w:pPr>
      <w:jc w:val="center"/>
    </w:pPr>
    <w:rPr>
      <w:b/>
      <w:bCs/>
    </w:rPr>
  </w:style>
  <w:style w:type="paragraph" w:customStyle="1" w:styleId="ConsPlusNonformat">
    <w:name w:val="ConsPlusNonformat"/>
    <w:uiPriority w:val="99"/>
    <w:pPr>
      <w:widowControl w:val="off"/>
    </w:pPr>
    <w:rPr>
      <w:rFonts w:ascii="Courier New" w:cs="Courier New" w:eastAsia="Arial" w:hAnsi="Courier New"/>
      <w:lang w:eastAsia="ja-JP"/>
    </w:rPr>
  </w:style>
  <w:style w:type="paragraph" w:customStyle="1" w:styleId="ConsPlusDocList">
    <w:name w:val="ConsPlusDocList"/>
    <w:next w:val="Standard"/>
    <w:uiPriority w:val="99"/>
    <w:pPr>
      <w:widowControl w:val="off"/>
    </w:pPr>
    <w:rPr>
      <w:rFonts w:ascii="Calibri" w:cs="Calibri" w:eastAsia="Calibri" w:hAnsi="Calibri"/>
      <w:sz w:val="22"/>
      <w:szCs w:val="22"/>
      <w:lang w:val="de-DE" w:bidi="fa-IR" w:eastAsia="ja-JP"/>
    </w:rPr>
  </w:style>
  <w:style w:type="paragraph" w:customStyle="1" w:styleId="ConsPlusCell1">
    <w:name w:val="ConsPlusCell1"/>
    <w:next w:val="Standard"/>
    <w:uiPriority w:val="99"/>
    <w:pPr>
      <w:widowControl w:val="off"/>
    </w:pPr>
    <w:rPr>
      <w:rFonts w:ascii="Calibri" w:cs="Calibri" w:eastAsia="Calibri" w:hAnsi="Calibri"/>
      <w:sz w:val="22"/>
      <w:szCs w:val="22"/>
      <w:lang w:val="de-DE" w:bidi="fa-IR" w:eastAsia="ja-JP"/>
    </w:rPr>
  </w:style>
  <w:style w:type="paragraph" w:customStyle="1" w:styleId="ConsPlusNonformat1">
    <w:name w:val="ConsPlusNonformat1"/>
    <w:next w:val="Standard"/>
    <w:uiPriority w:val="99"/>
    <w:pPr>
      <w:widowControl w:val="off"/>
    </w:pPr>
    <w:rPr>
      <w:rFonts w:ascii="Courier New" w:cs="Courier New" w:eastAsia="Courier New" w:hAnsi="Courier New"/>
      <w:lang w:val="de-DE" w:bidi="fa-IR" w:eastAsia="ja-JP"/>
    </w:rPr>
  </w:style>
  <w:style w:type="character" w:customStyle="1" w:styleId="NumberingSymbols">
    <w:name w:val="Numbering Symbols"/>
    <w:uiPriority w:val="99"/>
  </w:style>
  <w:style w:type="character" w:customStyle="1" w:styleId="Internetlink">
    <w:name w:val="Internet link"/>
    <w:uiPriority w:val="99"/>
    <w:rPr>
      <w:color w:val="000080"/>
      <w:u w:val="single"/>
    </w:rPr>
  </w:style>
  <w:style w:type="numbering" w:customStyle="1" w:styleId="Numbering1">
    <w:name w:val="Numbering 1"/>
    <w:basedOn w:val="NoList"/>
    <w:uiPriority w:val="99"/>
    <w:pPr>
      <w:numPr>
        <w:ilvl w:val="0"/>
        <w:numId w:val="1"/>
      </w:numPr>
    </w:pPr>
  </w:style>
  <w:style w:type="table" w:styleId="TableGrid">
    <w:name w:val="Table Grid"/>
    <w:basedOn w:val="NormalTable"/>
    <w:uiPriority w:val="99"/>
    <w:rPr>
      <w:rFonts w:cs="Times New Roman" w:eastAsia="Times New Roman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rPr>
      <w:rFonts w:ascii="Tahoma" w:hAnsi="Tahoma"/>
      <w:sz w:val="16"/>
      <w:szCs w:val="16"/>
    </w:rPr>
  </w:style>
  <w:style w:type="character" w:customStyle="1" w:styleId="ТекствыноскиЗнак">
    <w:name w:val="Текст выноски Знак"/>
    <w:link w:val="BalloonText"/>
    <w:uiPriority w:val="99"/>
    <w:semiHidden w:val="on"/>
    <w:rPr>
      <w:rFonts w:ascii="Tahoma" w:hAnsi="Tahoma"/>
      <w:color w:val="000000"/>
      <w:sz w:val="16"/>
      <w:szCs w:val="16"/>
      <w:lang w:val="de-DE" w:bidi="fa-IR" w:eastAsia="ar-SA"/>
    </w:rPr>
  </w:style>
  <w:style w:type="character" w:customStyle="1" w:styleId="ВерхнийколонтитулЗнак">
    <w:name w:val="Верхний колонтитул Знак"/>
    <w:link w:val="Header"/>
    <w:uiPriority w:val="99"/>
    <w:rPr>
      <w:sz w:val="24"/>
      <w:szCs w:val="24"/>
      <w:lang w:val="de-DE" w:bidi="fa-IR" w:eastAsia="ja-JP"/>
    </w:rPr>
  </w:style>
  <w:style w:type="character" w:styleId="Hyperlink">
    <w:name w:val="Hyperlink"/>
    <w:uiPriority w:val="99"/>
    <w:rPr>
      <w:color w:val="0000ff"/>
      <w:u w:val="single"/>
    </w:rPr>
  </w:style>
  <w:style w:type="character" w:customStyle="1" w:styleId="Заголовок1Знак">
    <w:name w:val="Заголовок 1 Знак"/>
    <w:link w:val="Heading1"/>
    <w:uiPriority w:val="99"/>
    <w:rPr>
      <w:sz w:val="28"/>
      <w:szCs w:val="24"/>
      <w:lang w:val="de-DE" w:bidi="fa-IR" w:eastAsia="ja-JP"/>
    </w:rPr>
  </w:style>
  <w:style w:type="character" w:customStyle="1" w:styleId="FontStyle31">
    <w:name w:val="Font Style31"/>
    <w:uiPriority w:val="99"/>
    <w:rPr>
      <w:rFonts w:ascii="Arial Narrow" w:cs="Arial Narrow" w:hAnsi="Arial Narrow"/>
      <w:b/>
      <w:bCs/>
      <w:sz w:val="22"/>
      <w:szCs w:val="22"/>
    </w:rPr>
  </w:style>
  <w:style w:type="paragraph" w:styleId="ListParagraph">
    <w:name w:val="List Paragraph"/>
    <w:aliases w:val="Варианты ответов,Абзац списка11"/>
    <w:basedOn w:val="Normal"/>
    <w:link w:val="АбзацспискаЗнак"/>
    <w:uiPriority w:val="34"/>
    <w:qFormat w:val="on"/>
    <w:pPr>
      <w:widowControl w:val="on"/>
      <w:spacing w:after="200" w:line="360" w:lineRule="auto"/>
      <w:ind w:left="720" w:firstLine="709"/>
      <w:contextualSpacing w:val="on"/>
      <w:jc w:val="both"/>
    </w:pPr>
    <w:rPr>
      <w:rFonts w:cs="Times New Roman" w:eastAsia="Times New Roman"/>
      <w:color w:val="auto"/>
      <w:szCs w:val="22"/>
      <w:lang w:val="ru-RU" w:bidi="ar-SA" w:eastAsia="en-US"/>
    </w:rPr>
  </w:style>
  <w:style w:type="character" w:styleId="SubtleEmphasis">
    <w:name w:val="Subtle Emphasis"/>
    <w:uiPriority w:val="19"/>
    <w:qFormat w:val="on"/>
    <w:rPr>
      <w:i/>
      <w:iCs/>
      <w:color w:val="808080"/>
    </w:rPr>
  </w:style>
  <w:style w:type="character" w:customStyle="1" w:styleId="АбзацспискаЗнак">
    <w:name w:val="Абзац списка Знак"/>
    <w:aliases w:val="Варианты ответов Знак,Абзац списка11 Знак"/>
    <w:link w:val="ListParagraph"/>
    <w:uiPriority w:val="34"/>
    <w:rPr>
      <w:rFonts w:cs="Times New Roman" w:eastAsia="Times New Roman"/>
      <w:sz w:val="24"/>
      <w:szCs w:val="22"/>
      <w:lang w:eastAsia="en-US"/>
    </w:rPr>
  </w:style>
  <w:style w:type="paragraph" w:customStyle="1" w:styleId="ConsPlusNormal">
    <w:name w:val="ConsPlusNormal"/>
    <w:uiPriority w:val="99"/>
    <w:pPr>
      <w:widowControl w:val="off"/>
    </w:pPr>
    <w:rPr>
      <w:rFonts w:ascii="Calibri" w:cs="Calibri" w:eastAsia="Times New Roman" w:hAnsi="Calibri"/>
      <w:sz w:val="22"/>
    </w:rPr>
  </w:style>
  <w:style w:type="paragraph" w:styleId="Footnotetext">
    <w:name w:val="Footnote text"/>
    <w:basedOn w:val="Normal"/>
    <w:link w:val="ТекстсноскиЗнак"/>
    <w:uiPriority w:val="99"/>
    <w:semiHidden w:val="on"/>
    <w:unhideWhenUsed w:val="on"/>
    <w:rPr>
      <w:sz w:val="20"/>
      <w:szCs w:val="20"/>
    </w:rPr>
  </w:style>
  <w:style w:type="character" w:customStyle="1" w:styleId="ТекстсноскиЗнак">
    <w:name w:val="Текст сноски Знак"/>
    <w:link w:val="Footnotetext"/>
    <w:uiPriority w:val="99"/>
    <w:semiHidden w:val="on"/>
    <w:rPr>
      <w:color w:val="000000"/>
      <w:lang w:val="de-DE" w:bidi="fa-IR" w:eastAsia="ar-SA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NoSpacing">
    <w:name w:val="No Spacing"/>
    <w:uiPriority w:val="99"/>
    <w:qFormat w:val="on"/>
    <w:rPr>
      <w:rFonts w:ascii="Calibri" w:cs="Times New Roman" w:eastAsia="Calibri" w:hAnsi="Calibri"/>
      <w:sz w:val="22"/>
      <w:szCs w:val="22"/>
      <w:lang w:eastAsia="en-US"/>
    </w:rPr>
  </w:style>
  <w:style w:type="character" w:styleId="Annotationreference">
    <w:name w:val="Annotation reference"/>
    <w:uiPriority w:val="99"/>
    <w:semiHidden w:val="on"/>
    <w:unhideWhenUsed w:val="on"/>
    <w:rPr>
      <w:sz w:val="16"/>
      <w:szCs w:val="16"/>
    </w:rPr>
  </w:style>
  <w:style w:type="paragraph" w:styleId="Annotationtext">
    <w:name w:val="Annotation text"/>
    <w:basedOn w:val="Normal"/>
    <w:link w:val="ТекстпримечанияЗнак"/>
    <w:uiPriority w:val="99"/>
    <w:semiHidden w:val="on"/>
    <w:unhideWhenUsed w:val="on"/>
    <w:rPr>
      <w:sz w:val="20"/>
      <w:szCs w:val="20"/>
    </w:rPr>
  </w:style>
  <w:style w:type="character" w:customStyle="1" w:styleId="ТекстпримечанияЗнак">
    <w:name w:val="Текст примечания Знак"/>
    <w:link w:val="Annotationtext"/>
    <w:uiPriority w:val="99"/>
    <w:semiHidden w:val="on"/>
    <w:rPr>
      <w:color w:val="000000"/>
      <w:lang w:val="de-DE" w:bidi="fa-IR" w:eastAsia="ar-SA"/>
    </w:rPr>
  </w:style>
  <w:style w:type="paragraph" w:styleId="Annotationsubject">
    <w:name w:val="Annotation subject"/>
    <w:basedOn w:val="Annotationtext"/>
    <w:next w:val="Annotationtext"/>
    <w:link w:val="ТемапримечанияЗнак"/>
    <w:uiPriority w:val="99"/>
    <w:semiHidden w:val="on"/>
    <w:unhideWhenUsed w:val="on"/>
    <w:rPr>
      <w:b/>
      <w:bCs/>
    </w:rPr>
  </w:style>
  <w:style w:type="character" w:customStyle="1" w:styleId="ТемапримечанияЗнак">
    <w:name w:val="Тема примечания Знак"/>
    <w:link w:val="Annotationsubject"/>
    <w:uiPriority w:val="99"/>
    <w:semiHidden w:val="on"/>
    <w:rPr>
      <w:b/>
      <w:bCs/>
      <w:color w:val="000000"/>
      <w:lang w:val="de-DE" w:bidi="fa-IR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22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4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1024x768"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5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D93BF-3104-410D-B7F9-67772DFD9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Рубцов Михаил Вячеславович</dc:creator>
  <cp:lastModifiedBy>Надежда</cp:lastModifiedB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