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Российская Федерация</w:t>
      </w:r>
    </w:p>
    <w:p w14:paraId="00000002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Иркутская область</w:t>
      </w:r>
    </w:p>
    <w:p w14:paraId="00000003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Слюдянский </w:t>
      </w:r>
      <w:r>
        <w:rPr>
          <w:b/>
          <w:sz w:val="30"/>
          <w:szCs w:val="30"/>
        </w:rPr>
        <w:t xml:space="preserve">муниципальный </w:t>
      </w:r>
      <w:r>
        <w:rPr>
          <w:b/>
          <w:sz w:val="30"/>
          <w:szCs w:val="30"/>
        </w:rPr>
        <w:t>район</w:t>
      </w:r>
    </w:p>
    <w:p w14:paraId="00000004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Портбайкальского муниципального образования</w:t>
      </w:r>
    </w:p>
    <w:p w14:paraId="00000005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Администрация</w:t>
      </w:r>
    </w:p>
    <w:p w14:paraId="00000006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П</w:t>
      </w:r>
      <w:r>
        <w:rPr>
          <w:b/>
          <w:sz w:val="30"/>
          <w:szCs w:val="30"/>
        </w:rPr>
        <w:t xml:space="preserve"> О С Т А Н О В Л Е Н И Е</w:t>
      </w:r>
    </w:p>
    <w:p w14:paraId="00000007">
      <w:pPr>
        <w:rPr>
          <w:sz w:val="26"/>
          <w:szCs w:val="26"/>
        </w:rPr>
      </w:pPr>
    </w:p>
    <w:p w14:paraId="00000008">
      <w:pPr>
        <w:rPr>
          <w:sz w:val="28"/>
          <w:szCs w:val="28"/>
        </w:rPr>
      </w:pPr>
      <w:r>
        <w:rPr>
          <w:sz w:val="28"/>
          <w:szCs w:val="28"/>
        </w:rPr>
        <w:t>13.0</w:t>
      </w:r>
      <w:r>
        <w:rPr>
          <w:sz w:val="28"/>
          <w:szCs w:val="28"/>
        </w:rPr>
        <w:t>5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sz w:val="28"/>
          <w:szCs w:val="28"/>
        </w:rPr>
        <w:t xml:space="preserve"> 21</w:t>
      </w:r>
    </w:p>
    <w:p w14:paraId="00000009">
      <w:pPr>
        <w:rPr>
          <w:sz w:val="28"/>
          <w:szCs w:val="28"/>
        </w:rPr>
      </w:pPr>
    </w:p>
    <w:p w14:paraId="000000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r>
        <w:rPr>
          <w:sz w:val="28"/>
          <w:szCs w:val="28"/>
        </w:rPr>
        <w:t>Байкал</w:t>
      </w:r>
    </w:p>
    <w:p w14:paraId="0000000B">
      <w:pPr>
        <w:jc w:val="center"/>
        <w:rPr>
          <w:sz w:val="28"/>
          <w:szCs w:val="28"/>
        </w:rPr>
      </w:pPr>
    </w:p>
    <w:p w14:paraId="0000000C">
      <w:pPr>
        <w:pStyle w:val="Основнойтекстсотступом21"/>
        <w:ind w:left="0"/>
        <w:jc w:val="center"/>
        <w:rPr>
          <w:szCs w:val="28"/>
        </w:rPr>
      </w:pPr>
      <w:r>
        <w:rPr>
          <w:b/>
          <w:szCs w:val="28"/>
        </w:rPr>
        <w:t>О</w:t>
      </w:r>
      <w:r>
        <w:rPr>
          <w:b/>
          <w:szCs w:val="28"/>
        </w:rPr>
        <w:t xml:space="preserve"> подготовке объектов жилищно-комму</w:t>
      </w:r>
      <w:r>
        <w:rPr>
          <w:b/>
          <w:szCs w:val="28"/>
        </w:rPr>
        <w:t>нального</w:t>
      </w:r>
      <w:r>
        <w:rPr>
          <w:b/>
          <w:szCs w:val="28"/>
        </w:rPr>
        <w:t xml:space="preserve"> хозяйства </w:t>
      </w:r>
      <w:r>
        <w:rPr>
          <w:b/>
          <w:szCs w:val="28"/>
        </w:rPr>
        <w:t>Портбайкальского</w:t>
      </w:r>
      <w:r>
        <w:rPr>
          <w:b/>
          <w:szCs w:val="28"/>
        </w:rPr>
        <w:t xml:space="preserve"> муниципального образования </w:t>
      </w:r>
      <w:r>
        <w:rPr>
          <w:b/>
          <w:szCs w:val="28"/>
        </w:rPr>
        <w:t xml:space="preserve">к </w:t>
      </w:r>
      <w:r>
        <w:rPr>
          <w:b/>
          <w:szCs w:val="28"/>
        </w:rPr>
        <w:t>осенне-зимнему отопительному периоду</w:t>
      </w:r>
      <w:r>
        <w:rPr>
          <w:b/>
          <w:szCs w:val="28"/>
        </w:rPr>
        <w:t xml:space="preserve"> 2024</w:t>
      </w:r>
      <w:r>
        <w:rPr>
          <w:b/>
          <w:szCs w:val="28"/>
        </w:rPr>
        <w:t>-2025</w:t>
      </w:r>
      <w:r>
        <w:rPr>
          <w:b/>
          <w:szCs w:val="28"/>
        </w:rPr>
        <w:t xml:space="preserve"> годов</w:t>
      </w:r>
    </w:p>
    <w:p w14:paraId="0000000D">
      <w:pPr>
        <w:ind w:firstLine="360"/>
        <w:jc w:val="both"/>
        <w:rPr>
          <w:sz w:val="28"/>
          <w:szCs w:val="28"/>
        </w:rPr>
      </w:pPr>
    </w:p>
    <w:p w14:paraId="0000000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>
        <w:rPr>
          <w:rStyle w:val="Fontstyle01"/>
          <w:rFonts w:ascii="Times New Roman" w:cs="Times New Roman" w:hAnsi="Times New Roman"/>
          <w:sz w:val="28"/>
          <w:szCs w:val="28"/>
        </w:rPr>
        <w:t>со ст.</w:t>
      </w:r>
      <w:r>
        <w:rPr>
          <w:rStyle w:val="Fontstyle01"/>
          <w:rFonts w:ascii="Times New Roman" w:cs="Times New Roman" w:hAnsi="Times New Roman"/>
          <w:sz w:val="28"/>
          <w:szCs w:val="28"/>
        </w:rPr>
        <w:t>20 Федерального закона от 27.07.2010 № 190-ФЗ «О теплоснабжении»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Приказом Министерства энергетики от 12 марта 2003 года «Об утверждении правил оценки готовности к отопительному периоду»</w:t>
      </w:r>
      <w:r>
        <w:rPr>
          <w:sz w:val="28"/>
          <w:szCs w:val="28"/>
        </w:rPr>
        <w:t xml:space="preserve"> </w:t>
      </w:r>
      <w:r>
        <w:rPr>
          <w:rStyle w:val="Fontstyle01"/>
          <w:rFonts w:ascii="Times New Roman" w:cs="Times New Roman" w:hAnsi="Times New Roman"/>
          <w:sz w:val="28"/>
          <w:szCs w:val="28"/>
        </w:rPr>
        <w:t>в целях оценки готовности к отопительному периоду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 </w:t>
      </w:r>
      <w:r>
        <w:rPr>
          <w:rStyle w:val="Fontstyle01"/>
          <w:rFonts w:ascii="Times New Roman" w:cs="Times New Roman" w:hAnsi="Times New Roman"/>
          <w:sz w:val="28"/>
          <w:szCs w:val="28"/>
        </w:rPr>
        <w:t>2024</w:t>
      </w:r>
      <w:r>
        <w:rPr>
          <w:rStyle w:val="Fontstyle01"/>
          <w:rFonts w:ascii="Times New Roman" w:cs="Times New Roman" w:hAnsi="Times New Roman"/>
          <w:sz w:val="28"/>
          <w:szCs w:val="28"/>
        </w:rPr>
        <w:t>-2025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 года потребителей тепловой энергии и теплоснабжающи</w:t>
      </w:r>
      <w:r>
        <w:rPr>
          <w:rStyle w:val="Fontstyle01"/>
          <w:rFonts w:ascii="Times New Roman" w:cs="Times New Roman" w:hAnsi="Times New Roman"/>
          <w:sz w:val="28"/>
          <w:szCs w:val="28"/>
        </w:rPr>
        <w:t>х(</w:t>
      </w:r>
      <w:r>
        <w:rPr>
          <w:rStyle w:val="Fontstyle01"/>
          <w:rFonts w:ascii="Times New Roman" w:cs="Times New Roman" w:hAnsi="Times New Roman"/>
          <w:sz w:val="28"/>
          <w:szCs w:val="28"/>
        </w:rPr>
        <w:t>теплосетевых) организаций на территории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 Портбайкальского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 муниципального образования 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Слюдянского 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района </w:t>
      </w:r>
      <w:r>
        <w:rPr>
          <w:rStyle w:val="Fontstyle01"/>
          <w:rFonts w:ascii="Times New Roman" w:cs="Times New Roman" w:hAnsi="Times New Roman"/>
          <w:sz w:val="28"/>
          <w:szCs w:val="28"/>
        </w:rPr>
        <w:t>Иркутской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 области</w:t>
      </w:r>
      <w:r>
        <w:rPr>
          <w:rStyle w:val="Fontstyle01"/>
          <w:rFonts w:ascii="Times New Roman" w:cs="Times New Roman" w:hAnsi="Times New Roman"/>
          <w:sz w:val="28"/>
          <w:szCs w:val="28"/>
        </w:rPr>
        <w:t xml:space="preserve">, 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ля обеспечения своевременной и качественной подготовки систем жизнеобеспечения, объектов жилищного </w:t>
      </w:r>
      <w:r>
        <w:rPr>
          <w:sz w:val="28"/>
          <w:szCs w:val="28"/>
        </w:rPr>
        <w:t>фонда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 </w:t>
      </w:r>
      <w:r>
        <w:rPr>
          <w:sz w:val="28"/>
          <w:szCs w:val="28"/>
        </w:rPr>
        <w:t>работе в отопительный период 2024</w:t>
      </w:r>
      <w:r>
        <w:rPr>
          <w:sz w:val="28"/>
          <w:szCs w:val="28"/>
        </w:rPr>
        <w:t>-2025</w:t>
      </w:r>
      <w:r>
        <w:rPr>
          <w:sz w:val="28"/>
          <w:szCs w:val="28"/>
        </w:rPr>
        <w:t xml:space="preserve"> годов, </w:t>
      </w:r>
      <w:r>
        <w:rPr>
          <w:sz w:val="28"/>
          <w:szCs w:val="28"/>
        </w:rPr>
        <w:t xml:space="preserve">а также в целях </w:t>
      </w:r>
      <w:r>
        <w:rPr>
          <w:sz w:val="28"/>
          <w:szCs w:val="28"/>
        </w:rPr>
        <w:t>предупреждения возникнове</w:t>
      </w:r>
      <w:r>
        <w:rPr>
          <w:sz w:val="28"/>
          <w:szCs w:val="28"/>
        </w:rPr>
        <w:t>ния нештатных ситуаций в течение</w:t>
      </w:r>
      <w:r>
        <w:rPr>
          <w:sz w:val="28"/>
          <w:szCs w:val="28"/>
        </w:rPr>
        <w:t xml:space="preserve"> отопительного периода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2024-2025</w:t>
      </w:r>
      <w:r>
        <w:rPr>
          <w:sz w:val="28"/>
          <w:szCs w:val="28"/>
        </w:rPr>
        <w:t xml:space="preserve"> года</w:t>
      </w:r>
    </w:p>
    <w:p w14:paraId="0000000F">
      <w:pPr>
        <w:jc w:val="center"/>
        <w:rPr>
          <w:b/>
          <w:sz w:val="28"/>
          <w:szCs w:val="28"/>
        </w:rPr>
      </w:pPr>
    </w:p>
    <w:p w14:paraId="000000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</w:t>
      </w:r>
    </w:p>
    <w:p w14:paraId="00000011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00000012">
      <w:pPr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Создать комиссию по</w:t>
      </w:r>
      <w:r>
        <w:rPr>
          <w:sz w:val="28"/>
          <w:szCs w:val="28"/>
        </w:rPr>
        <w:t xml:space="preserve"> подготовке и</w:t>
      </w:r>
      <w:r>
        <w:rPr>
          <w:sz w:val="28"/>
          <w:szCs w:val="28"/>
        </w:rPr>
        <w:t xml:space="preserve"> оценке </w:t>
      </w:r>
      <w:r>
        <w:rPr>
          <w:sz w:val="28"/>
          <w:szCs w:val="28"/>
        </w:rPr>
        <w:t>готовности теплоснабжающей</w:t>
      </w:r>
      <w:r>
        <w:rPr>
          <w:sz w:val="28"/>
          <w:szCs w:val="28"/>
        </w:rPr>
        <w:t xml:space="preserve"> организаций и потребителей тепловой энергии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к работе в </w:t>
      </w:r>
      <w:r>
        <w:rPr>
          <w:sz w:val="28"/>
          <w:szCs w:val="28"/>
        </w:rPr>
        <w:t>отоп</w:t>
      </w:r>
      <w:r>
        <w:rPr>
          <w:sz w:val="28"/>
          <w:szCs w:val="28"/>
        </w:rPr>
        <w:t xml:space="preserve">ительный период </w:t>
      </w:r>
      <w:r>
        <w:rPr>
          <w:sz w:val="28"/>
          <w:szCs w:val="28"/>
        </w:rPr>
        <w:t>2024-2025</w:t>
      </w:r>
      <w:r>
        <w:rPr>
          <w:sz w:val="28"/>
          <w:szCs w:val="28"/>
        </w:rPr>
        <w:t>годов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далее </w:t>
      </w:r>
      <w:r>
        <w:rPr>
          <w:sz w:val="28"/>
          <w:szCs w:val="28"/>
        </w:rPr>
        <w:t>–К</w:t>
      </w:r>
      <w:r>
        <w:rPr>
          <w:sz w:val="28"/>
          <w:szCs w:val="28"/>
        </w:rPr>
        <w:t>омиссия).</w:t>
      </w:r>
    </w:p>
    <w:p w14:paraId="00000013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>остав к</w:t>
      </w:r>
      <w:r>
        <w:rPr>
          <w:sz w:val="28"/>
          <w:szCs w:val="28"/>
        </w:rPr>
        <w:t>омисси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>
        <w:rPr>
          <w:sz w:val="28"/>
          <w:szCs w:val="28"/>
        </w:rPr>
        <w:t xml:space="preserve"> подготовке и</w:t>
      </w:r>
      <w:r>
        <w:rPr>
          <w:sz w:val="28"/>
          <w:szCs w:val="28"/>
        </w:rPr>
        <w:t xml:space="preserve"> оценке готовности </w:t>
      </w:r>
      <w:r>
        <w:rPr>
          <w:sz w:val="28"/>
          <w:szCs w:val="28"/>
        </w:rPr>
        <w:t>теплоснабжающ</w:t>
      </w:r>
      <w:r>
        <w:rPr>
          <w:sz w:val="28"/>
          <w:szCs w:val="28"/>
        </w:rPr>
        <w:t>ей</w:t>
      </w:r>
      <w:r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и потребителей тепловой энергии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 к работе в</w:t>
      </w:r>
      <w:r>
        <w:rPr>
          <w:sz w:val="28"/>
          <w:szCs w:val="28"/>
        </w:rPr>
        <w:t xml:space="preserve"> отопительный период </w:t>
      </w:r>
      <w:r>
        <w:rPr>
          <w:sz w:val="28"/>
          <w:szCs w:val="28"/>
        </w:rPr>
        <w:t>2024-2025</w:t>
      </w:r>
      <w:r>
        <w:rPr>
          <w:sz w:val="28"/>
          <w:szCs w:val="28"/>
        </w:rPr>
        <w:t xml:space="preserve"> г</w:t>
      </w:r>
      <w:r>
        <w:rPr>
          <w:sz w:val="28"/>
          <w:szCs w:val="28"/>
        </w:rPr>
        <w:t>одов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№1).</w:t>
      </w:r>
    </w:p>
    <w:p w14:paraId="00000014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План </w:t>
      </w:r>
      <w:r>
        <w:rPr>
          <w:sz w:val="28"/>
          <w:szCs w:val="28"/>
        </w:rPr>
        <w:t>мероприятий по подготовке объектов ЖКХ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к отопительному периоду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2024-2025</w:t>
      </w:r>
      <w:r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учетом недостатков предыдущего отопительного периода и выявленных технологических </w:t>
      </w:r>
      <w:r>
        <w:rPr>
          <w:sz w:val="28"/>
          <w:szCs w:val="28"/>
        </w:rPr>
        <w:t>нарушений</w:t>
      </w:r>
      <w:r>
        <w:rPr>
          <w:sz w:val="28"/>
          <w:szCs w:val="28"/>
        </w:rPr>
        <w:t xml:space="preserve"> в эксплуатации теплоэнергетического оборудования. (Приложение </w:t>
      </w:r>
      <w:r>
        <w:rPr>
          <w:sz w:val="28"/>
          <w:szCs w:val="28"/>
        </w:rPr>
        <w:t>№2</w:t>
      </w:r>
      <w:r>
        <w:rPr>
          <w:sz w:val="28"/>
          <w:szCs w:val="28"/>
        </w:rPr>
        <w:t>).</w:t>
      </w:r>
    </w:p>
    <w:p w14:paraId="00000015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Программы проведения </w:t>
      </w:r>
      <w:r>
        <w:rPr>
          <w:sz w:val="28"/>
          <w:szCs w:val="28"/>
        </w:rPr>
        <w:t xml:space="preserve">проверки готовности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 xml:space="preserve"> к отопительному периоду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(Приложение№3)</w:t>
      </w:r>
      <w:r>
        <w:rPr>
          <w:sz w:val="28"/>
          <w:szCs w:val="28"/>
        </w:rPr>
        <w:t>.</w:t>
      </w:r>
    </w:p>
    <w:p w14:paraId="000000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срок до </w:t>
      </w: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обеспечить готовность объектов жилищно-коммунального хозяйства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Портбайкальском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 </w:t>
      </w:r>
      <w:r>
        <w:rPr>
          <w:sz w:val="28"/>
          <w:szCs w:val="28"/>
        </w:rPr>
        <w:t xml:space="preserve">к отопительному периоду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 xml:space="preserve">. </w:t>
      </w:r>
    </w:p>
    <w:p w14:paraId="0000001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В срок до 10</w:t>
      </w:r>
      <w:r>
        <w:rPr>
          <w:sz w:val="28"/>
          <w:szCs w:val="28"/>
        </w:rPr>
        <w:t xml:space="preserve"> сентября 2024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обеспеч</w:t>
      </w:r>
      <w:r>
        <w:rPr>
          <w:sz w:val="28"/>
          <w:szCs w:val="28"/>
        </w:rPr>
        <w:t xml:space="preserve">ить готовность жилищного фонда </w:t>
      </w:r>
      <w:r>
        <w:rPr>
          <w:sz w:val="28"/>
          <w:szCs w:val="28"/>
        </w:rPr>
        <w:t>и других потребителей тепловой энергии с выдачей паспортов готовности</w:t>
      </w:r>
      <w:r>
        <w:rPr>
          <w:sz w:val="28"/>
          <w:szCs w:val="28"/>
        </w:rPr>
        <w:t xml:space="preserve">.  </w:t>
      </w:r>
    </w:p>
    <w:p w14:paraId="000000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Теплоснабжающей организации:</w:t>
      </w:r>
    </w:p>
    <w:p w14:paraId="000000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В срок до 10</w:t>
      </w:r>
      <w:r>
        <w:rPr>
          <w:sz w:val="28"/>
          <w:szCs w:val="28"/>
        </w:rPr>
        <w:t xml:space="preserve"> сентября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представить в администрацию</w:t>
      </w:r>
      <w:r>
        <w:rPr>
          <w:sz w:val="28"/>
          <w:szCs w:val="28"/>
        </w:rPr>
        <w:t xml:space="preserve"> Портбайкальского</w:t>
      </w:r>
      <w:r>
        <w:rPr>
          <w:sz w:val="28"/>
          <w:szCs w:val="28"/>
        </w:rPr>
        <w:t xml:space="preserve"> МО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акты проведения гидравлических испытаний тепловых сетей</w:t>
      </w:r>
      <w:r>
        <w:rPr>
          <w:sz w:val="28"/>
          <w:szCs w:val="28"/>
        </w:rPr>
        <w:t>.</w:t>
      </w:r>
    </w:p>
    <w:p w14:paraId="000000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2</w:t>
      </w:r>
      <w:r>
        <w:rPr>
          <w:sz w:val="28"/>
          <w:szCs w:val="28"/>
        </w:rPr>
        <w:t>. в</w:t>
      </w:r>
      <w:r>
        <w:rPr>
          <w:sz w:val="28"/>
          <w:szCs w:val="28"/>
        </w:rPr>
        <w:t xml:space="preserve"> срок до </w:t>
      </w: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 2024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обеспечить нормативный запас топлива на котельных</w:t>
      </w:r>
      <w:r>
        <w:rPr>
          <w:sz w:val="28"/>
          <w:szCs w:val="28"/>
        </w:rPr>
        <w:t xml:space="preserve">, информацию о выполнении данного мероприятия представить в администрацию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МО</w:t>
      </w:r>
      <w:r>
        <w:rPr>
          <w:sz w:val="28"/>
          <w:szCs w:val="28"/>
        </w:rPr>
        <w:t>;</w:t>
      </w:r>
    </w:p>
    <w:p w14:paraId="00000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в срок до </w:t>
      </w: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 2024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сформировать аварийный запас материально-технических ресурсов в эксплуатируемых организациях для оперативного выполнения аварийно-восстановительных работ в </w:t>
      </w:r>
      <w:r>
        <w:rPr>
          <w:sz w:val="28"/>
          <w:szCs w:val="28"/>
        </w:rPr>
        <w:t xml:space="preserve">отопительный период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>, информацию о выполнении данн</w:t>
      </w:r>
      <w:r>
        <w:rPr>
          <w:sz w:val="28"/>
          <w:szCs w:val="28"/>
        </w:rPr>
        <w:t>ых</w:t>
      </w:r>
      <w:r>
        <w:rPr>
          <w:sz w:val="28"/>
          <w:szCs w:val="28"/>
        </w:rPr>
        <w:t xml:space="preserve"> мероприятий представить </w:t>
      </w:r>
      <w:r>
        <w:rPr>
          <w:sz w:val="28"/>
          <w:szCs w:val="28"/>
        </w:rPr>
        <w:t xml:space="preserve">в администрацию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МО</w:t>
      </w:r>
      <w:r>
        <w:rPr>
          <w:sz w:val="28"/>
          <w:szCs w:val="28"/>
        </w:rPr>
        <w:t xml:space="preserve"> ;</w:t>
      </w:r>
    </w:p>
    <w:p w14:paraId="000000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4</w:t>
      </w:r>
      <w:r>
        <w:rPr>
          <w:sz w:val="28"/>
          <w:szCs w:val="28"/>
        </w:rPr>
        <w:t>. пр</w:t>
      </w:r>
      <w:r>
        <w:rPr>
          <w:sz w:val="28"/>
          <w:szCs w:val="28"/>
        </w:rPr>
        <w:t xml:space="preserve">едусмотреть </w:t>
      </w:r>
      <w:r>
        <w:rPr>
          <w:sz w:val="28"/>
          <w:szCs w:val="28"/>
        </w:rPr>
        <w:t>в период подгот</w:t>
      </w:r>
      <w:r>
        <w:rPr>
          <w:sz w:val="28"/>
          <w:szCs w:val="28"/>
        </w:rPr>
        <w:t xml:space="preserve">овки к отопительному периоду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проведение ремонтных работ </w:t>
      </w:r>
      <w:r>
        <w:rPr>
          <w:sz w:val="28"/>
          <w:szCs w:val="28"/>
        </w:rPr>
        <w:t>котельных,  тепловых</w:t>
      </w:r>
      <w:r>
        <w:rPr>
          <w:sz w:val="28"/>
          <w:szCs w:val="28"/>
        </w:rPr>
        <w:t xml:space="preserve"> пунктов, </w:t>
      </w:r>
      <w:r>
        <w:rPr>
          <w:sz w:val="28"/>
          <w:szCs w:val="28"/>
        </w:rPr>
        <w:t xml:space="preserve"> тепловых сетей одновременно со сроками р</w:t>
      </w:r>
      <w:r>
        <w:rPr>
          <w:sz w:val="28"/>
          <w:szCs w:val="28"/>
        </w:rPr>
        <w:t>емонта систем теплопотребления</w:t>
      </w:r>
      <w:r>
        <w:rPr>
          <w:sz w:val="28"/>
          <w:szCs w:val="28"/>
        </w:rPr>
        <w:t>, информацию о</w:t>
      </w:r>
      <w:r>
        <w:rPr>
          <w:sz w:val="28"/>
          <w:szCs w:val="28"/>
        </w:rPr>
        <w:t xml:space="preserve"> ходе работ и</w:t>
      </w:r>
      <w:r>
        <w:rPr>
          <w:sz w:val="28"/>
          <w:szCs w:val="28"/>
        </w:rPr>
        <w:t xml:space="preserve"> выполнении данных мероприятий </w:t>
      </w:r>
      <w:r>
        <w:rPr>
          <w:sz w:val="28"/>
          <w:szCs w:val="28"/>
        </w:rPr>
        <w:t>информировать</w:t>
      </w:r>
      <w:r>
        <w:rPr>
          <w:sz w:val="28"/>
          <w:szCs w:val="28"/>
        </w:rPr>
        <w:t xml:space="preserve"> администрацию</w:t>
      </w:r>
      <w:r>
        <w:rPr>
          <w:sz w:val="28"/>
          <w:szCs w:val="28"/>
        </w:rPr>
        <w:t xml:space="preserve"> Портбайкальского</w:t>
      </w:r>
      <w:r>
        <w:rPr>
          <w:sz w:val="28"/>
          <w:szCs w:val="28"/>
        </w:rPr>
        <w:t xml:space="preserve"> МО</w:t>
      </w:r>
      <w:r>
        <w:rPr>
          <w:sz w:val="28"/>
          <w:szCs w:val="28"/>
        </w:rPr>
        <w:t>;</w:t>
      </w:r>
    </w:p>
    <w:p w14:paraId="000000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5</w:t>
      </w:r>
      <w:r>
        <w:rPr>
          <w:sz w:val="28"/>
          <w:szCs w:val="28"/>
        </w:rPr>
        <w:t>. в</w:t>
      </w:r>
      <w:r>
        <w:rPr>
          <w:sz w:val="28"/>
          <w:szCs w:val="28"/>
        </w:rPr>
        <w:t xml:space="preserve"> срок </w:t>
      </w:r>
      <w:r>
        <w:rPr>
          <w:sz w:val="28"/>
          <w:szCs w:val="28"/>
        </w:rPr>
        <w:t xml:space="preserve">до </w:t>
      </w:r>
      <w:r>
        <w:rPr>
          <w:sz w:val="28"/>
          <w:szCs w:val="28"/>
        </w:rPr>
        <w:t>1</w:t>
      </w:r>
      <w:r>
        <w:rPr>
          <w:sz w:val="28"/>
          <w:szCs w:val="28"/>
        </w:rPr>
        <w:t>0 сентября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>провести практические занятия с аварийно-восста</w:t>
      </w:r>
      <w:r>
        <w:rPr>
          <w:sz w:val="28"/>
          <w:szCs w:val="28"/>
        </w:rPr>
        <w:t>новительными</w:t>
      </w:r>
      <w:r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ями</w:t>
      </w:r>
      <w:r>
        <w:rPr>
          <w:sz w:val="28"/>
          <w:szCs w:val="28"/>
        </w:rPr>
        <w:t xml:space="preserve"> бригадами</w:t>
      </w:r>
      <w:r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ликвидации возможных последствий технологических нарушений и аварийных ситуаций на объектах коммунальной инфраструкту</w:t>
      </w:r>
      <w:r>
        <w:rPr>
          <w:sz w:val="28"/>
          <w:szCs w:val="28"/>
        </w:rPr>
        <w:t>ры</w:t>
      </w:r>
      <w:r>
        <w:rPr>
          <w:sz w:val="28"/>
          <w:szCs w:val="28"/>
        </w:rPr>
        <w:t xml:space="preserve"> ;</w:t>
      </w:r>
    </w:p>
    <w:p w14:paraId="000000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6</w:t>
      </w:r>
      <w:r>
        <w:rPr>
          <w:sz w:val="28"/>
          <w:szCs w:val="28"/>
        </w:rPr>
        <w:t>. Восстановить благоустройство, нарушенное в результате проведения земляных работ при</w:t>
      </w:r>
      <w:r>
        <w:rPr>
          <w:sz w:val="28"/>
          <w:szCs w:val="28"/>
        </w:rPr>
        <w:t xml:space="preserve"> ликвидации аварийных ситуаций;</w:t>
      </w:r>
    </w:p>
    <w:p w14:paraId="000000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. Принять необходимые меры по предупреждению возможных террористических актов на подведомственных объектах. </w:t>
      </w:r>
    </w:p>
    <w:p w14:paraId="000000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8</w:t>
      </w:r>
      <w:r>
        <w:rPr>
          <w:sz w:val="28"/>
          <w:szCs w:val="28"/>
        </w:rPr>
        <w:t>. Назначить лиц, ответственных за подготовку объектов к эксплуа</w:t>
      </w:r>
      <w:r>
        <w:rPr>
          <w:sz w:val="28"/>
          <w:szCs w:val="28"/>
        </w:rPr>
        <w:t xml:space="preserve">тации в осенне-зимний период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 xml:space="preserve"> и своевременное предоставление информации по форме №1-ЖКХ (зима) срочная «Сведения о подготовке ЖКХ к работе в зимних условиях», утвержденной постановлением федеральной службы государственной статистики от 27 февраля 2006 года №7. Копии приказов направить в администрацию</w:t>
      </w:r>
      <w:r>
        <w:rPr>
          <w:sz w:val="28"/>
          <w:szCs w:val="28"/>
        </w:rPr>
        <w:t xml:space="preserve"> Портбайкальского</w:t>
      </w:r>
      <w:r>
        <w:rPr>
          <w:sz w:val="28"/>
          <w:szCs w:val="28"/>
        </w:rPr>
        <w:t xml:space="preserve"> МО. Информацию о ходе подготовки объектов ЖКХ к работе в осенне-зимний период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представлять в</w:t>
      </w:r>
      <w:r>
        <w:rPr>
          <w:sz w:val="28"/>
          <w:szCs w:val="28"/>
        </w:rPr>
        <w:t xml:space="preserve"> администрацию</w:t>
      </w:r>
      <w:r>
        <w:rPr>
          <w:sz w:val="28"/>
          <w:szCs w:val="28"/>
        </w:rPr>
        <w:t xml:space="preserve"> Портбайкальского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МО  к</w:t>
      </w:r>
      <w:r>
        <w:rPr>
          <w:sz w:val="28"/>
          <w:szCs w:val="28"/>
        </w:rPr>
        <w:t xml:space="preserve"> первому числу каждого м</w:t>
      </w:r>
      <w:r>
        <w:rPr>
          <w:sz w:val="28"/>
          <w:szCs w:val="28"/>
        </w:rPr>
        <w:t xml:space="preserve">есяца с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августа</w:t>
      </w:r>
      <w:r>
        <w:rPr>
          <w:sz w:val="28"/>
          <w:szCs w:val="28"/>
        </w:rPr>
        <w:t xml:space="preserve"> по 01 ноября 2024</w:t>
      </w:r>
      <w:r>
        <w:rPr>
          <w:sz w:val="28"/>
          <w:szCs w:val="28"/>
        </w:rPr>
        <w:t xml:space="preserve"> года по форме №1-ЖКХ (зима) срочная. </w:t>
      </w:r>
    </w:p>
    <w:p w14:paraId="00000021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. В срок до </w:t>
      </w:r>
      <w:r>
        <w:rPr>
          <w:sz w:val="28"/>
          <w:szCs w:val="28"/>
        </w:rPr>
        <w:t>01 сентября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 график гидравлических испытаний и промывки внутренних систем отопления объектов жилищного фонда;</w:t>
      </w:r>
    </w:p>
    <w:p w14:paraId="00000022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график заполнения систем отопления;</w:t>
      </w:r>
    </w:p>
    <w:p w14:paraId="00000023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Комиссии по </w:t>
      </w:r>
      <w:r>
        <w:rPr>
          <w:sz w:val="28"/>
          <w:szCs w:val="28"/>
        </w:rPr>
        <w:t xml:space="preserve">подготовке и оценке готовности </w:t>
      </w:r>
      <w:r>
        <w:rPr>
          <w:sz w:val="28"/>
          <w:szCs w:val="28"/>
        </w:rPr>
        <w:t>теплоснабжающих организаций и потребителей тепловой эне</w:t>
      </w:r>
      <w:r>
        <w:rPr>
          <w:sz w:val="28"/>
          <w:szCs w:val="28"/>
        </w:rPr>
        <w:t xml:space="preserve">ргии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 к работе в </w:t>
      </w:r>
      <w:r>
        <w:rPr>
          <w:sz w:val="28"/>
          <w:szCs w:val="28"/>
        </w:rPr>
        <w:t xml:space="preserve">отопительный период </w:t>
      </w:r>
      <w:r>
        <w:rPr>
          <w:sz w:val="28"/>
          <w:szCs w:val="28"/>
        </w:rPr>
        <w:t>2024-2025 годов</w:t>
      </w:r>
      <w:r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срок до </w:t>
      </w:r>
      <w:r>
        <w:rPr>
          <w:sz w:val="28"/>
          <w:szCs w:val="28"/>
        </w:rPr>
        <w:t>0</w:t>
      </w:r>
      <w:r>
        <w:rPr>
          <w:sz w:val="28"/>
          <w:szCs w:val="28"/>
        </w:rPr>
        <w:t>1 октября 2024</w:t>
      </w:r>
      <w:r>
        <w:rPr>
          <w:sz w:val="28"/>
          <w:szCs w:val="28"/>
        </w:rPr>
        <w:t xml:space="preserve"> года проверить готовность теплоснабжающих организа</w:t>
      </w:r>
      <w:r>
        <w:rPr>
          <w:sz w:val="28"/>
          <w:szCs w:val="28"/>
        </w:rPr>
        <w:t xml:space="preserve">ций к осенне-зимнему периоду </w:t>
      </w:r>
      <w:r>
        <w:rPr>
          <w:sz w:val="28"/>
          <w:szCs w:val="28"/>
        </w:rPr>
        <w:t>2024-2025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года в соответствии с</w:t>
      </w:r>
      <w:r>
        <w:rPr>
          <w:sz w:val="28"/>
          <w:szCs w:val="28"/>
        </w:rPr>
        <w:t xml:space="preserve"> правилами оценки готовности к отопительному периоду. </w:t>
      </w:r>
    </w:p>
    <w:p w14:paraId="00000024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. Опубликовать настоящее </w:t>
      </w:r>
      <w:r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печатном издании «Портбайкальские вести» </w:t>
      </w:r>
      <w:r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>на официальном сайте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Слюдянского района в сети «Интернет»</w:t>
      </w:r>
      <w:r>
        <w:rPr>
          <w:sz w:val="28"/>
          <w:szCs w:val="28"/>
        </w:rPr>
        <w:t xml:space="preserve">. </w:t>
      </w:r>
    </w:p>
    <w:p w14:paraId="00000025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>0</w:t>
      </w:r>
      <w:r>
        <w:rPr>
          <w:sz w:val="28"/>
          <w:szCs w:val="28"/>
        </w:rPr>
        <w:t xml:space="preserve">. Контроль за исполнением настоящего </w:t>
      </w:r>
      <w:r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оставляю за собой.</w:t>
      </w:r>
    </w:p>
    <w:p w14:paraId="00000026">
      <w:pPr>
        <w:ind w:left="720"/>
        <w:jc w:val="both"/>
        <w:rPr>
          <w:sz w:val="28"/>
          <w:szCs w:val="28"/>
        </w:rPr>
      </w:pPr>
    </w:p>
    <w:p w14:paraId="00000027">
      <w:pPr>
        <w:ind w:left="720"/>
        <w:jc w:val="both"/>
        <w:rPr>
          <w:sz w:val="28"/>
          <w:szCs w:val="28"/>
        </w:rPr>
      </w:pPr>
    </w:p>
    <w:p w14:paraId="00000028">
      <w:pPr>
        <w:ind w:left="720"/>
        <w:jc w:val="both"/>
        <w:rPr>
          <w:sz w:val="28"/>
          <w:szCs w:val="28"/>
        </w:rPr>
      </w:pPr>
    </w:p>
    <w:p w14:paraId="00000029">
      <w:pPr>
        <w:tabs>
          <w:tab w:val="left" w:pos="1791"/>
        </w:tabs>
        <w:jc w:val="both"/>
        <w:rPr>
          <w:sz w:val="28"/>
          <w:szCs w:val="28"/>
        </w:rPr>
      </w:pPr>
    </w:p>
    <w:p w14:paraId="000000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14:paraId="0000002B">
      <w:pPr>
        <w:jc w:val="both"/>
        <w:rPr>
          <w:sz w:val="28"/>
          <w:szCs w:val="28"/>
        </w:rPr>
      </w:pPr>
      <w:r>
        <w:rPr>
          <w:sz w:val="28"/>
          <w:szCs w:val="28"/>
        </w:rPr>
        <w:t>Портбайкальского МО                                                        Н.И. Симакова</w:t>
      </w:r>
    </w:p>
    <w:p w14:paraId="0000002C">
      <w:pPr>
        <w:jc w:val="both"/>
        <w:rPr>
          <w:sz w:val="28"/>
          <w:szCs w:val="28"/>
        </w:rPr>
      </w:pPr>
    </w:p>
    <w:p w14:paraId="0000002D">
      <w:pPr>
        <w:jc w:val="both"/>
        <w:rPr>
          <w:sz w:val="28"/>
          <w:szCs w:val="28"/>
        </w:rPr>
      </w:pPr>
    </w:p>
    <w:p w14:paraId="0000002E">
      <w:pPr>
        <w:jc w:val="both"/>
        <w:rPr>
          <w:sz w:val="28"/>
          <w:szCs w:val="28"/>
        </w:rPr>
      </w:pPr>
    </w:p>
    <w:p w14:paraId="0000002F">
      <w:pPr>
        <w:jc w:val="both"/>
        <w:rPr>
          <w:sz w:val="28"/>
          <w:szCs w:val="28"/>
        </w:rPr>
      </w:pPr>
    </w:p>
    <w:p w14:paraId="00000030">
      <w:pPr>
        <w:jc w:val="both"/>
        <w:rPr>
          <w:sz w:val="28"/>
          <w:szCs w:val="28"/>
        </w:rPr>
      </w:pPr>
    </w:p>
    <w:p w14:paraId="00000031">
      <w:pPr>
        <w:jc w:val="both"/>
        <w:rPr>
          <w:sz w:val="28"/>
          <w:szCs w:val="28"/>
        </w:rPr>
      </w:pPr>
    </w:p>
    <w:p w14:paraId="00000032">
      <w:pPr>
        <w:jc w:val="both"/>
        <w:rPr>
          <w:sz w:val="28"/>
          <w:szCs w:val="28"/>
        </w:rPr>
      </w:pPr>
    </w:p>
    <w:p w14:paraId="00000033">
      <w:pPr>
        <w:jc w:val="both"/>
        <w:rPr>
          <w:sz w:val="28"/>
          <w:szCs w:val="28"/>
        </w:rPr>
      </w:pPr>
    </w:p>
    <w:p w14:paraId="00000034">
      <w:pPr>
        <w:jc w:val="both"/>
        <w:rPr>
          <w:sz w:val="28"/>
          <w:szCs w:val="28"/>
        </w:rPr>
      </w:pPr>
    </w:p>
    <w:p w14:paraId="00000035">
      <w:pPr>
        <w:jc w:val="both"/>
        <w:rPr>
          <w:sz w:val="28"/>
          <w:szCs w:val="28"/>
        </w:rPr>
      </w:pPr>
    </w:p>
    <w:p w14:paraId="00000036">
      <w:pPr>
        <w:jc w:val="both"/>
        <w:rPr>
          <w:sz w:val="28"/>
          <w:szCs w:val="28"/>
        </w:rPr>
      </w:pPr>
    </w:p>
    <w:p w14:paraId="00000037">
      <w:pPr>
        <w:jc w:val="both"/>
        <w:rPr>
          <w:sz w:val="28"/>
          <w:szCs w:val="28"/>
        </w:rPr>
      </w:pPr>
    </w:p>
    <w:p w14:paraId="00000038">
      <w:pPr>
        <w:jc w:val="both"/>
        <w:rPr>
          <w:sz w:val="28"/>
          <w:szCs w:val="28"/>
        </w:rPr>
      </w:pPr>
    </w:p>
    <w:p w14:paraId="00000039">
      <w:pPr>
        <w:jc w:val="both"/>
        <w:rPr>
          <w:sz w:val="28"/>
          <w:szCs w:val="28"/>
        </w:rPr>
      </w:pPr>
    </w:p>
    <w:p w14:paraId="0000003A">
      <w:pPr>
        <w:jc w:val="both"/>
        <w:rPr>
          <w:sz w:val="28"/>
          <w:szCs w:val="28"/>
        </w:rPr>
      </w:pPr>
    </w:p>
    <w:p w14:paraId="0000003B">
      <w:pPr>
        <w:jc w:val="both"/>
        <w:rPr>
          <w:sz w:val="28"/>
          <w:szCs w:val="28"/>
        </w:rPr>
      </w:pPr>
    </w:p>
    <w:p w14:paraId="0000003C">
      <w:pPr>
        <w:jc w:val="both"/>
        <w:rPr>
          <w:sz w:val="28"/>
          <w:szCs w:val="28"/>
        </w:rPr>
      </w:pPr>
    </w:p>
    <w:p w14:paraId="0000003D">
      <w:pPr>
        <w:jc w:val="both"/>
        <w:rPr>
          <w:sz w:val="28"/>
          <w:szCs w:val="28"/>
        </w:rPr>
      </w:pPr>
    </w:p>
    <w:p w14:paraId="0000003E">
      <w:pPr>
        <w:jc w:val="both"/>
        <w:rPr>
          <w:sz w:val="28"/>
          <w:szCs w:val="28"/>
        </w:rPr>
      </w:pPr>
    </w:p>
    <w:p w14:paraId="0000003F">
      <w:pPr>
        <w:jc w:val="both"/>
        <w:rPr>
          <w:sz w:val="28"/>
          <w:szCs w:val="28"/>
        </w:rPr>
      </w:pPr>
    </w:p>
    <w:p w14:paraId="00000040">
      <w:pPr>
        <w:jc w:val="both"/>
        <w:rPr>
          <w:sz w:val="28"/>
          <w:szCs w:val="28"/>
        </w:rPr>
      </w:pPr>
    </w:p>
    <w:p w14:paraId="00000041">
      <w:pPr>
        <w:jc w:val="both"/>
        <w:rPr>
          <w:sz w:val="28"/>
          <w:szCs w:val="28"/>
        </w:rPr>
      </w:pPr>
    </w:p>
    <w:p w14:paraId="00000042">
      <w:pPr>
        <w:jc w:val="both"/>
        <w:rPr>
          <w:sz w:val="28"/>
          <w:szCs w:val="28"/>
        </w:rPr>
      </w:pPr>
    </w:p>
    <w:p w14:paraId="00000043">
      <w:pPr>
        <w:jc w:val="both"/>
        <w:rPr>
          <w:sz w:val="28"/>
          <w:szCs w:val="28"/>
        </w:rPr>
      </w:pPr>
    </w:p>
    <w:p w14:paraId="00000044">
      <w:pPr>
        <w:jc w:val="both"/>
        <w:rPr>
          <w:sz w:val="28"/>
          <w:szCs w:val="28"/>
        </w:rPr>
      </w:pPr>
    </w:p>
    <w:p w14:paraId="0000004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№1</w:t>
      </w:r>
    </w:p>
    <w:p w14:paraId="00000046">
      <w:pPr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главы</w:t>
      </w:r>
      <w:r>
        <w:rPr>
          <w:sz w:val="20"/>
          <w:szCs w:val="20"/>
        </w:rPr>
        <w:t xml:space="preserve"> Портбайкальского</w:t>
      </w:r>
      <w:r>
        <w:rPr>
          <w:sz w:val="20"/>
          <w:szCs w:val="20"/>
        </w:rPr>
        <w:t xml:space="preserve">МО </w:t>
      </w:r>
    </w:p>
    <w:p w14:paraId="00000047">
      <w:pPr>
        <w:jc w:val="right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 13</w:t>
      </w:r>
      <w:r>
        <w:rPr>
          <w:sz w:val="20"/>
          <w:szCs w:val="20"/>
        </w:rPr>
        <w:t>.0</w:t>
      </w:r>
      <w:r>
        <w:rPr>
          <w:sz w:val="20"/>
          <w:szCs w:val="20"/>
        </w:rPr>
        <w:t>5</w:t>
      </w:r>
      <w:r>
        <w:rPr>
          <w:sz w:val="20"/>
          <w:szCs w:val="20"/>
        </w:rPr>
        <w:t>.</w:t>
      </w:r>
      <w:r>
        <w:rPr>
          <w:sz w:val="20"/>
          <w:szCs w:val="20"/>
        </w:rPr>
        <w:t xml:space="preserve"> 2024</w:t>
      </w:r>
      <w:r>
        <w:rPr>
          <w:sz w:val="20"/>
          <w:szCs w:val="20"/>
        </w:rPr>
        <w:t xml:space="preserve"> года </w:t>
      </w:r>
      <w:r>
        <w:rPr>
          <w:sz w:val="20"/>
          <w:szCs w:val="20"/>
        </w:rPr>
        <w:t>№</w:t>
      </w:r>
      <w:r>
        <w:rPr>
          <w:sz w:val="20"/>
          <w:szCs w:val="20"/>
        </w:rPr>
        <w:t xml:space="preserve"> 21</w:t>
      </w:r>
    </w:p>
    <w:p w14:paraId="00000048">
      <w:pPr>
        <w:rPr>
          <w:sz w:val="26"/>
          <w:szCs w:val="26"/>
        </w:rPr>
      </w:pPr>
    </w:p>
    <w:p w14:paraId="00000049">
      <w:pPr>
        <w:rPr>
          <w:sz w:val="26"/>
          <w:szCs w:val="26"/>
        </w:rPr>
      </w:pPr>
    </w:p>
    <w:p w14:paraId="0000004A">
      <w:pPr>
        <w:pStyle w:val="Heading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14:paraId="0000004B">
      <w:pPr>
        <w:pStyle w:val="Heading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комиссии</w:t>
      </w:r>
      <w:r>
        <w:rPr>
          <w:b/>
          <w:sz w:val="24"/>
          <w:szCs w:val="24"/>
        </w:rPr>
        <w:t xml:space="preserve"> п</w:t>
      </w:r>
      <w:r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 xml:space="preserve"> подготовке и</w:t>
      </w:r>
      <w:r>
        <w:rPr>
          <w:b/>
          <w:sz w:val="24"/>
          <w:szCs w:val="24"/>
        </w:rPr>
        <w:t xml:space="preserve"> оценке готовно</w:t>
      </w:r>
      <w:r>
        <w:rPr>
          <w:b/>
          <w:sz w:val="24"/>
          <w:szCs w:val="24"/>
        </w:rPr>
        <w:t>сти</w:t>
      </w:r>
      <w:r>
        <w:rPr>
          <w:b/>
          <w:sz w:val="24"/>
          <w:szCs w:val="24"/>
        </w:rPr>
        <w:t xml:space="preserve"> теплоснабжающ</w:t>
      </w:r>
      <w:r>
        <w:rPr>
          <w:b/>
          <w:sz w:val="24"/>
          <w:szCs w:val="24"/>
        </w:rPr>
        <w:t>ей</w:t>
      </w:r>
      <w:r>
        <w:rPr>
          <w:b/>
          <w:sz w:val="24"/>
          <w:szCs w:val="24"/>
        </w:rPr>
        <w:t xml:space="preserve"> организаци</w:t>
      </w:r>
      <w:r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 xml:space="preserve"> и потребителей тепловой энергии </w:t>
      </w:r>
      <w:r>
        <w:rPr>
          <w:b/>
          <w:sz w:val="24"/>
          <w:szCs w:val="24"/>
        </w:rPr>
        <w:t xml:space="preserve">Портбайкальского </w:t>
      </w:r>
      <w:r>
        <w:rPr>
          <w:b/>
          <w:sz w:val="24"/>
          <w:szCs w:val="24"/>
        </w:rPr>
        <w:t>муниципального образования</w:t>
      </w: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к работе в</w:t>
      </w:r>
      <w:r>
        <w:rPr>
          <w:b/>
          <w:sz w:val="24"/>
          <w:szCs w:val="24"/>
        </w:rPr>
        <w:t xml:space="preserve"> отопительный период </w:t>
      </w:r>
      <w:r>
        <w:rPr>
          <w:b/>
          <w:sz w:val="24"/>
          <w:szCs w:val="24"/>
        </w:rPr>
        <w:t>2024-2025 годов</w:t>
      </w:r>
    </w:p>
    <w:p w14:paraId="0000004C">
      <w:pPr>
        <w:jc w:val="center"/>
        <w:rPr>
          <w:b/>
        </w:rPr>
      </w:pP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977"/>
        <w:gridCol w:w="6521"/>
      </w:tblGrid>
      <w:tr>
        <w:trPr/>
        <w:tc>
          <w:tcPr>
            <w:cnfStyle w:val="000010100000"/>
            <w:tcW w:w="2977" w:type="dxa"/>
            <w:shd w:val="clear" w:color="auto" w:fill="auto"/>
          </w:tcPr>
          <w:p w14:paraId="0000004D">
            <w:r>
              <w:t>Председатель комиссии</w:t>
            </w:r>
          </w:p>
        </w:tc>
        <w:tc>
          <w:tcPr>
            <w:cnfStyle w:val="000001100000"/>
            <w:tcW w:w="6521" w:type="dxa"/>
            <w:shd w:val="clear" w:color="auto" w:fill="auto"/>
          </w:tcPr>
          <w:p w14:paraId="0000004E">
            <w:r>
              <w:t>Глава</w:t>
            </w:r>
            <w:r>
              <w:t xml:space="preserve"> Портбайкальского</w:t>
            </w:r>
            <w:r>
              <w:t xml:space="preserve"> МО </w:t>
            </w:r>
            <w:r>
              <w:t>Н.И. Симакова</w:t>
            </w:r>
          </w:p>
        </w:tc>
      </w:tr>
      <w:tr>
        <w:trPr/>
        <w:tc>
          <w:tcPr>
            <w:cnfStyle w:val="000010010000"/>
            <w:tcW w:w="2977" w:type="dxa"/>
            <w:shd w:val="clear" w:color="auto" w:fill="auto"/>
          </w:tcPr>
          <w:p w14:paraId="0000004F">
            <w:pPr>
              <w:pStyle w:val="Содержимоетаблицы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Члены комиссии:</w:t>
            </w:r>
          </w:p>
        </w:tc>
        <w:tc>
          <w:tcPr>
            <w:cnfStyle w:val="000001010000"/>
            <w:tcW w:w="6521" w:type="dxa"/>
            <w:shd w:val="clear" w:color="auto" w:fill="auto"/>
          </w:tcPr>
          <w:p w14:paraId="00000050"/>
        </w:tc>
      </w:tr>
      <w:tr>
        <w:trPr/>
        <w:tc>
          <w:tcPr>
            <w:cnfStyle w:val="000010100000"/>
            <w:tcW w:w="2977" w:type="dxa"/>
            <w:shd w:val="clear" w:color="auto" w:fill="auto"/>
          </w:tcPr>
          <w:p w14:paraId="00000051"/>
        </w:tc>
        <w:tc>
          <w:tcPr>
            <w:cnfStyle w:val="000001100000"/>
            <w:tcW w:w="6521" w:type="dxa"/>
            <w:shd w:val="clear" w:color="auto" w:fill="auto"/>
          </w:tcPr>
          <w:p w14:paraId="00000052">
            <w:pPr>
              <w:pStyle w:val="Основнойтекстсотступом3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>
              <w:rPr>
                <w:sz w:val="24"/>
                <w:szCs w:val="24"/>
              </w:rPr>
              <w:t xml:space="preserve">пециалист администрации </w:t>
            </w:r>
            <w:r>
              <w:rPr>
                <w:sz w:val="24"/>
                <w:szCs w:val="24"/>
              </w:rPr>
              <w:t xml:space="preserve">Портбайкальского </w:t>
            </w:r>
            <w:r>
              <w:rPr>
                <w:sz w:val="24"/>
                <w:szCs w:val="24"/>
              </w:rPr>
              <w:t xml:space="preserve">МО </w:t>
            </w:r>
            <w:r>
              <w:rPr>
                <w:sz w:val="24"/>
                <w:szCs w:val="24"/>
              </w:rPr>
              <w:t>О.С. Малинкина</w:t>
            </w:r>
          </w:p>
          <w:p w14:paraId="00000053">
            <w:pPr>
              <w:pStyle w:val="Основнойтекстсотступом3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Электрик администрации С.В. Курочкин</w:t>
            </w:r>
          </w:p>
          <w:p w14:paraId="00000054">
            <w:pPr>
              <w:pStyle w:val="Основнойтекстсотступом3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теплоснабжающей организации по согласованию</w:t>
            </w:r>
          </w:p>
        </w:tc>
      </w:tr>
      <w:tr>
        <w:trPr/>
        <w:tc>
          <w:tcPr>
            <w:cnfStyle w:val="000010010000"/>
            <w:tcW w:w="2977" w:type="dxa"/>
            <w:shd w:val="clear" w:color="auto" w:fill="auto"/>
          </w:tcPr>
          <w:p w14:paraId="00000055"/>
        </w:tc>
        <w:tc>
          <w:tcPr>
            <w:cnfStyle w:val="000001010000"/>
            <w:tcW w:w="6521" w:type="dxa"/>
            <w:shd w:val="clear" w:color="auto" w:fill="auto"/>
          </w:tcPr>
          <w:p w14:paraId="00000056">
            <w:r>
              <w:t xml:space="preserve">Государственный инспектор Отдела энергетического надзора по </w:t>
            </w:r>
            <w:r>
              <w:t>Иркутской</w:t>
            </w:r>
            <w:r>
              <w:t xml:space="preserve"> области</w:t>
            </w:r>
            <w:r>
              <w:t xml:space="preserve"> </w:t>
            </w:r>
            <w:r>
              <w:t>Енисейское</w:t>
            </w:r>
            <w:r>
              <w:t xml:space="preserve"> </w:t>
            </w:r>
            <w:r>
              <w:t xml:space="preserve">управления Ростехнадзора </w:t>
            </w:r>
            <w:r>
              <w:t xml:space="preserve"> по согласованию</w:t>
            </w:r>
            <w:r>
              <w:t xml:space="preserve">. </w:t>
            </w:r>
          </w:p>
          <w:p w14:paraId="00000057">
            <w:pPr>
              <w:rPr>
                <w:highlight w:val="yellow"/>
              </w:rPr>
            </w:pPr>
          </w:p>
        </w:tc>
      </w:tr>
    </w:tbl>
    <w:p w14:paraId="00000058">
      <w:pPr>
        <w:jc w:val="right"/>
        <w:rPr>
          <w:sz w:val="20"/>
          <w:szCs w:val="20"/>
        </w:rPr>
      </w:pPr>
    </w:p>
    <w:p w14:paraId="00000059">
      <w:pPr>
        <w:jc w:val="right"/>
        <w:rPr>
          <w:sz w:val="20"/>
          <w:szCs w:val="20"/>
        </w:rPr>
      </w:pPr>
    </w:p>
    <w:p w14:paraId="0000005A">
      <w:pPr>
        <w:jc w:val="right"/>
        <w:rPr>
          <w:sz w:val="20"/>
          <w:szCs w:val="20"/>
        </w:rPr>
      </w:pPr>
    </w:p>
    <w:p w14:paraId="0000005B">
      <w:pPr>
        <w:jc w:val="right"/>
        <w:rPr>
          <w:sz w:val="20"/>
          <w:szCs w:val="20"/>
        </w:rPr>
      </w:pPr>
    </w:p>
    <w:p w14:paraId="0000005C">
      <w:pPr>
        <w:jc w:val="right"/>
        <w:rPr>
          <w:sz w:val="20"/>
          <w:szCs w:val="20"/>
        </w:rPr>
      </w:pPr>
    </w:p>
    <w:p w14:paraId="0000005D">
      <w:pPr>
        <w:jc w:val="right"/>
        <w:rPr>
          <w:sz w:val="20"/>
          <w:szCs w:val="20"/>
        </w:rPr>
      </w:pPr>
    </w:p>
    <w:p w14:paraId="0000005E">
      <w:pPr>
        <w:jc w:val="right"/>
        <w:rPr>
          <w:sz w:val="20"/>
          <w:szCs w:val="20"/>
        </w:rPr>
      </w:pPr>
    </w:p>
    <w:p w14:paraId="0000005F">
      <w:pPr>
        <w:jc w:val="right"/>
        <w:rPr>
          <w:sz w:val="20"/>
          <w:szCs w:val="20"/>
        </w:rPr>
      </w:pPr>
    </w:p>
    <w:p w14:paraId="00000060">
      <w:pPr>
        <w:jc w:val="right"/>
        <w:rPr>
          <w:sz w:val="20"/>
          <w:szCs w:val="20"/>
        </w:rPr>
      </w:pPr>
    </w:p>
    <w:p w14:paraId="00000061">
      <w:pPr>
        <w:jc w:val="right"/>
        <w:rPr>
          <w:sz w:val="20"/>
          <w:szCs w:val="20"/>
        </w:rPr>
      </w:pPr>
    </w:p>
    <w:p w14:paraId="00000062">
      <w:pPr>
        <w:jc w:val="right"/>
        <w:rPr>
          <w:sz w:val="20"/>
          <w:szCs w:val="20"/>
        </w:rPr>
      </w:pPr>
    </w:p>
    <w:p w14:paraId="00000063">
      <w:pPr>
        <w:jc w:val="right"/>
        <w:rPr>
          <w:sz w:val="20"/>
          <w:szCs w:val="20"/>
        </w:rPr>
      </w:pPr>
    </w:p>
    <w:p w14:paraId="00000064">
      <w:pPr>
        <w:jc w:val="right"/>
        <w:rPr>
          <w:sz w:val="20"/>
          <w:szCs w:val="20"/>
        </w:rPr>
      </w:pPr>
    </w:p>
    <w:p w14:paraId="00000065">
      <w:pPr>
        <w:jc w:val="right"/>
        <w:rPr>
          <w:sz w:val="20"/>
          <w:szCs w:val="20"/>
        </w:rPr>
      </w:pPr>
    </w:p>
    <w:p w14:paraId="00000066">
      <w:pPr>
        <w:jc w:val="right"/>
        <w:rPr>
          <w:sz w:val="20"/>
          <w:szCs w:val="20"/>
        </w:rPr>
      </w:pPr>
    </w:p>
    <w:p w14:paraId="00000067">
      <w:pPr>
        <w:jc w:val="right"/>
        <w:rPr>
          <w:sz w:val="20"/>
          <w:szCs w:val="20"/>
        </w:rPr>
      </w:pPr>
    </w:p>
    <w:p w14:paraId="00000068">
      <w:pPr>
        <w:jc w:val="right"/>
        <w:rPr>
          <w:sz w:val="20"/>
          <w:szCs w:val="20"/>
        </w:rPr>
      </w:pPr>
    </w:p>
    <w:p w14:paraId="00000069">
      <w:pPr>
        <w:jc w:val="right"/>
        <w:rPr>
          <w:sz w:val="20"/>
          <w:szCs w:val="20"/>
        </w:rPr>
      </w:pPr>
    </w:p>
    <w:p w14:paraId="0000006A">
      <w:pPr>
        <w:jc w:val="right"/>
        <w:rPr>
          <w:sz w:val="20"/>
          <w:szCs w:val="20"/>
        </w:rPr>
      </w:pPr>
    </w:p>
    <w:p w14:paraId="0000006B">
      <w:pPr>
        <w:jc w:val="right"/>
        <w:rPr>
          <w:sz w:val="20"/>
          <w:szCs w:val="20"/>
        </w:rPr>
      </w:pPr>
    </w:p>
    <w:p w14:paraId="0000006C">
      <w:pPr>
        <w:jc w:val="right"/>
        <w:rPr>
          <w:sz w:val="20"/>
          <w:szCs w:val="20"/>
        </w:rPr>
      </w:pPr>
    </w:p>
    <w:p w14:paraId="0000006D">
      <w:pPr>
        <w:jc w:val="right"/>
        <w:rPr>
          <w:sz w:val="20"/>
          <w:szCs w:val="20"/>
        </w:rPr>
      </w:pPr>
    </w:p>
    <w:p w14:paraId="0000006E">
      <w:pPr>
        <w:jc w:val="right"/>
        <w:rPr>
          <w:sz w:val="20"/>
          <w:szCs w:val="20"/>
        </w:rPr>
      </w:pPr>
    </w:p>
    <w:p w14:paraId="0000006F">
      <w:pPr>
        <w:jc w:val="right"/>
        <w:rPr>
          <w:sz w:val="20"/>
          <w:szCs w:val="20"/>
        </w:rPr>
      </w:pPr>
    </w:p>
    <w:p w14:paraId="00000070">
      <w:pPr>
        <w:jc w:val="right"/>
        <w:rPr>
          <w:sz w:val="20"/>
          <w:szCs w:val="20"/>
        </w:rPr>
      </w:pPr>
    </w:p>
    <w:p w14:paraId="00000071">
      <w:pPr>
        <w:jc w:val="right"/>
        <w:rPr>
          <w:sz w:val="20"/>
          <w:szCs w:val="20"/>
        </w:rPr>
      </w:pPr>
    </w:p>
    <w:p w14:paraId="00000072">
      <w:pPr>
        <w:jc w:val="right"/>
        <w:rPr>
          <w:sz w:val="20"/>
          <w:szCs w:val="20"/>
        </w:rPr>
      </w:pPr>
    </w:p>
    <w:p w14:paraId="00000073">
      <w:pPr>
        <w:jc w:val="right"/>
        <w:rPr>
          <w:sz w:val="20"/>
          <w:szCs w:val="20"/>
        </w:rPr>
      </w:pPr>
    </w:p>
    <w:p w14:paraId="00000074">
      <w:pPr>
        <w:jc w:val="right"/>
        <w:rPr>
          <w:sz w:val="20"/>
          <w:szCs w:val="20"/>
        </w:rPr>
      </w:pPr>
    </w:p>
    <w:p w14:paraId="00000075">
      <w:pPr>
        <w:jc w:val="right"/>
        <w:rPr>
          <w:sz w:val="20"/>
          <w:szCs w:val="20"/>
        </w:rPr>
      </w:pPr>
    </w:p>
    <w:p w14:paraId="00000076">
      <w:pPr>
        <w:jc w:val="right"/>
        <w:rPr>
          <w:sz w:val="20"/>
          <w:szCs w:val="20"/>
        </w:rPr>
      </w:pPr>
    </w:p>
    <w:p w14:paraId="00000077">
      <w:pPr>
        <w:jc w:val="right"/>
        <w:rPr>
          <w:sz w:val="20"/>
          <w:szCs w:val="20"/>
        </w:rPr>
      </w:pPr>
    </w:p>
    <w:p w14:paraId="00000078">
      <w:pPr>
        <w:jc w:val="right"/>
        <w:rPr>
          <w:sz w:val="20"/>
          <w:szCs w:val="20"/>
        </w:rPr>
        <w:sectPr>
          <w:pgSz w:w="11906" w:h="16838"/>
          <w:pgMar w:top="1134" w:right="851" w:bottom="1134" w:left="1701" w:header="709" w:footer="709" w:gutter="0"/>
          <w:cols w:space="708"/>
        </w:sectPr>
      </w:pPr>
      <w:r>
        <w:rPr>
          <w:sz w:val="20"/>
          <w:szCs w:val="20"/>
        </w:rPr>
        <w:t>
</w:t>
      </w:r>
    </w:p>
    <w:p w14:paraId="00000079">
      <w:pPr>
        <w:jc w:val="right"/>
        <w:rPr/>
      </w:pPr>
      <w:r>
        <w:t xml:space="preserve">Приложение №2 </w:t>
      </w:r>
    </w:p>
    <w:p w14:paraId="0000007A">
      <w:pPr>
        <w:jc w:val="right"/>
        <w:rPr/>
      </w:pPr>
      <w:r>
        <w:t>к Постановлению Главы</w:t>
      </w:r>
      <w:r>
        <w:t xml:space="preserve"> Портбайкальского </w:t>
      </w:r>
      <w:r>
        <w:t>МО</w:t>
      </w:r>
    </w:p>
    <w:p w14:paraId="0000007B">
      <w:pPr>
        <w:jc w:val="right"/>
        <w:rPr/>
      </w:pPr>
      <w:r>
        <w:t>от 13.05.2024г № 21</w:t>
      </w:r>
    </w:p>
    <w:p w14:paraId="0000007C">
      <w:pPr>
        <w:jc w:val="center"/>
        <w:rPr>
          <w:b/>
          <w:sz w:val="28"/>
          <w:szCs w:val="28"/>
        </w:rPr>
      </w:pPr>
    </w:p>
    <w:p w14:paraId="0000007D">
      <w:pPr>
        <w:jc w:val="center"/>
        <w:rPr>
          <w:b/>
        </w:rPr>
      </w:pPr>
      <w:r>
        <w:rPr>
          <w:b/>
        </w:rPr>
        <w:t>План-график</w:t>
      </w:r>
      <w:r>
        <w:rPr>
          <w:b/>
        </w:rPr>
        <w:t xml:space="preserve"> по подготовке к работе в осенне-зимний период 202</w:t>
      </w:r>
      <w:r>
        <w:rPr>
          <w:b/>
        </w:rPr>
        <w:t>4</w:t>
      </w:r>
      <w:r>
        <w:rPr>
          <w:b/>
        </w:rPr>
        <w:t>/202</w:t>
      </w:r>
      <w:r>
        <w:rPr>
          <w:b/>
        </w:rPr>
        <w:t>5</w:t>
      </w:r>
      <w:r>
        <w:rPr>
          <w:b/>
        </w:rPr>
        <w:t xml:space="preserve"> </w:t>
      </w:r>
      <w:r>
        <w:rPr>
          <w:b/>
        </w:rPr>
        <w:t>г.г</w:t>
      </w:r>
      <w:r>
        <w:rPr>
          <w:b/>
        </w:rPr>
        <w:t xml:space="preserve">. </w:t>
      </w:r>
    </w:p>
    <w:p w14:paraId="0000007E">
      <w:pPr>
        <w:jc w:val="center"/>
        <w:rPr>
          <w:b/>
        </w:rPr>
      </w:pPr>
      <w:r>
        <w:rPr>
          <w:b/>
        </w:rPr>
        <w:t xml:space="preserve">на территории </w:t>
      </w:r>
      <w:r>
        <w:rPr>
          <w:b/>
        </w:rPr>
        <w:t>Портбайкальского</w:t>
      </w:r>
      <w:r>
        <w:rPr>
          <w:b/>
        </w:rPr>
        <w:t xml:space="preserve"> </w:t>
      </w:r>
      <w:r>
        <w:rPr>
          <w:b/>
        </w:rPr>
        <w:t xml:space="preserve">МО  </w:t>
      </w:r>
    </w:p>
    <w:p w14:paraId="0000007F">
      <w:pPr>
        <w:rPr>
          <w:b/>
        </w:rPr>
      </w:pPr>
      <w:r>
        <w:rPr>
          <w:b/>
        </w:rPr>
        <w:t>1. Объекты теплоснабжения</w:t>
      </w:r>
    </w:p>
    <w:tbl>
      <w:tblPr>
        <w:tblW w:w="5000" w:type="pct"/>
        <w:tblLayout w:type="fixed"/>
        <w:tblLook w:val="04A0"/>
      </w:tblPr>
      <w:tblGrid>
        <w:gridCol w:w="649"/>
        <w:gridCol w:w="3844"/>
        <w:gridCol w:w="1551"/>
        <w:gridCol w:w="1551"/>
        <w:gridCol w:w="1554"/>
        <w:gridCol w:w="1852"/>
      </w:tblGrid>
      <w:tr>
        <w:trPr>
          <w:trHeight w:val="315"/>
        </w:trPr>
        <w:tc>
          <w:tcPr>
            <w:cnfStyle w:val="101000000000"/>
            <w:tcW w:w="295" w:type="pct"/>
            <w:noWrap w:val="on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cnfStyle w:val="100000000000"/>
            <w:tcW w:w="1747" w:type="pct"/>
            <w:noWrap w:val="on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cnfStyle w:val="100000000000"/>
            <w:tcW w:w="705" w:type="pct"/>
            <w:noWrap w:val="on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cnfStyle w:val="100000000000"/>
            <w:tcW w:w="1411" w:type="pct"/>
            <w:noWrap w:val="on"/>
            <w:gridSpan w:val="2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cnfStyle w:val="100000000000"/>
            <w:tcW w:w="842" w:type="pct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vAlign w:val="center"/>
          </w:tcPr>
          <w:p w14:paraId="0000008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Ответственный</w:t>
            </w:r>
          </w:p>
        </w:tc>
      </w:tr>
      <w:tr>
        <w:trPr>
          <w:trHeight w:val="315"/>
        </w:trPr>
        <w:tc>
          <w:tcPr>
            <w:cnfStyle w:val="001000100000"/>
            <w:tcW w:w="295" w:type="pct"/>
            <w:noWrap w:val="on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1747" w:type="pct"/>
            <w:noWrap w:val="on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5" w:type="pct"/>
            <w:noWrap w:val="on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cnfStyle w:val="000000100000"/>
            <w:tcW w:w="70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000008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Всего, тыс. руб.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cnfStyle w:val="000000100000"/>
            <w:tcW w:w="842" w:type="pct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439"/>
        </w:trPr>
        <w:tc>
          <w:tcPr>
            <w:cnfStyle w:val="001000010000"/>
            <w:tcW w:w="4158" w:type="pct"/>
            <w:noWrap w:val="on"/>
            <w:gridSpan w:val="5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08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Котельная «Центральная»</w:t>
            </w:r>
          </w:p>
        </w:tc>
        <w:tc>
          <w:tcPr>
            <w:cnfStyle w:val="000000010000"/>
            <w:tcW w:w="842" w:type="pct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</w:tcPr>
          <w:p w14:paraId="000000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>
        <w:trPr>
          <w:trHeight w:val="397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cnfStyle w:val="000000100000"/>
            <w:tcW w:w="174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8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000008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000009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92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97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cnfStyle w:val="000000010000"/>
            <w:tcW w:w="174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Дымовая труба и газоходы - очистка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noWrap w:val="on"/>
            <w:vMerge w:val="restar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7">
            <w:pPr>
              <w:ind w:left="-178" w:firstLine="178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</w:t>
            </w: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98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99">
            <w:pPr>
              <w:ind w:left="-178" w:firstLine="178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97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cnfStyle w:val="000000100000"/>
            <w:tcW w:w="174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9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Монтаж золоуловителя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9E">
            <w:pPr>
              <w:ind w:left="-178" w:firstLine="178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9F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Водогрейный котёл №1 </w:t>
            </w:r>
            <w:r>
              <w:rPr>
                <w:b/>
                <w:sz w:val="22"/>
                <w:szCs w:val="22"/>
              </w:rPr>
              <w:t>КВр-0,4</w:t>
            </w:r>
            <w:r>
              <w:rPr>
                <w:sz w:val="22"/>
                <w:szCs w:val="22"/>
              </w:rPr>
              <w:t xml:space="preserve"> ООО ЗКО «Карат», заводской номер №083 – обслуживание, ремонт, очистка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A5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A6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1.4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Водогрейный котёл №2 </w:t>
            </w:r>
            <w:r>
              <w:rPr>
                <w:b/>
                <w:sz w:val="22"/>
                <w:szCs w:val="22"/>
              </w:rPr>
              <w:t>КВр-0,4</w:t>
            </w:r>
            <w:r>
              <w:rPr>
                <w:sz w:val="22"/>
                <w:szCs w:val="22"/>
              </w:rPr>
              <w:t xml:space="preserve"> ООО ЗКО «Карат», заводской номер №082 – обслуживание, ремонт, очистка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AC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AD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1.5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AF">
            <w:pPr>
              <w:rPr>
                <w:b/>
                <w:bCs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Вентилятор дутьевой №1 и №2 </w:t>
            </w:r>
            <w:r>
              <w:rPr>
                <w:rStyle w:val="Strong"/>
                <w:sz w:val="22"/>
                <w:szCs w:val="22"/>
              </w:rPr>
              <w:t xml:space="preserve">ВЦ 14-46 №2,5 </w:t>
            </w:r>
            <w:r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B3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B4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42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1.6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6">
            <w:pPr>
              <w:rPr>
                <w:b/>
                <w:bCs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Насос сетевой №1,2,3 </w:t>
            </w:r>
            <w:r>
              <w:rPr>
                <w:b/>
                <w:color w:val="000000"/>
                <w:sz w:val="22"/>
                <w:szCs w:val="22"/>
              </w:rPr>
              <w:t xml:space="preserve">К-45/30 </w:t>
            </w:r>
            <w:r>
              <w:rPr>
                <w:color w:val="000000"/>
                <w:sz w:val="22"/>
                <w:szCs w:val="22"/>
              </w:rPr>
              <w:t xml:space="preserve">– обслуживание, </w:t>
            </w:r>
            <w:r>
              <w:rPr>
                <w:color w:val="000000"/>
                <w:sz w:val="22"/>
                <w:szCs w:val="22"/>
              </w:rPr>
              <w:t>р</w:t>
            </w:r>
            <w:r>
              <w:rPr>
                <w:color w:val="000000"/>
                <w:sz w:val="22"/>
                <w:szCs w:val="22"/>
              </w:rPr>
              <w:t>емонт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BA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BB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36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1.7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Ёмкость для воды - промывка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C1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C2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1.8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Насос подпиточный </w:t>
            </w:r>
            <w:r>
              <w:rPr>
                <w:b/>
                <w:color w:val="000000"/>
                <w:sz w:val="22"/>
                <w:szCs w:val="22"/>
              </w:rPr>
              <w:t>типа Вихрь ПН-650</w:t>
            </w: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- обслуживание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C8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C9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1.9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Щиты управления, пускорегулирующая аппаратура в комплекте – обслуживание, ремонт, очистка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C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CF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D0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</w:t>
            </w:r>
            <w:r>
              <w:rPr>
                <w:color w:val="000000"/>
                <w:sz w:val="22"/>
                <w:szCs w:val="22"/>
              </w:rPr>
              <w:t xml:space="preserve"> запорной арматуры в пределах котельной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D6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D7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1.11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DD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DE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643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1.12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E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E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0E5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41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1.13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E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Текущий ремонт здания, побелка, покраска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6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EB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341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1.14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пробной топки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10.09.2023</w:t>
            </w:r>
          </w:p>
        </w:tc>
        <w:tc>
          <w:tcPr>
            <w:cnfStyle w:val="000000100000"/>
            <w:tcW w:w="705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E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noWrap w:val="on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F1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374"/>
        </w:trPr>
        <w:tc>
          <w:tcPr>
            <w:cnfStyle w:val="001000010000"/>
            <w:tcW w:w="4158" w:type="pct"/>
            <w:noWrap w:val="on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0F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Котельная «Баранчик»</w:t>
            </w:r>
          </w:p>
        </w:tc>
        <w:tc>
          <w:tcPr>
            <w:cnfStyle w:val="000000010000"/>
            <w:tcW w:w="8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</w:tcPr>
          <w:p w14:paraId="000000F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>
        <w:trPr>
          <w:trHeight w:val="405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5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70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B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Дымовая труба и газоход - очистка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vMerge w:val="restar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0F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0FF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00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0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Очистка</w:t>
            </w:r>
            <w:r>
              <w:rPr>
                <w:color w:val="000000"/>
                <w:sz w:val="22"/>
                <w:szCs w:val="22"/>
              </w:rPr>
              <w:t xml:space="preserve"> золоуловителя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</w:t>
            </w: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vMerge w:val="continue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</w:tcPr>
          <w:p w14:paraId="0000010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06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07">
            <w:pPr>
              <w:ind w:left="-178" w:firstLine="178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9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Водогрейный котёл </w:t>
            </w:r>
            <w:r>
              <w:rPr>
                <w:b/>
                <w:sz w:val="22"/>
                <w:szCs w:val="22"/>
              </w:rPr>
              <w:t xml:space="preserve">КВр-0,35 </w:t>
            </w:r>
            <w:r>
              <w:rPr>
                <w:sz w:val="22"/>
                <w:szCs w:val="22"/>
              </w:rPr>
              <w:t>ООО «Гефест-Энерго» – обслуживание, ремонт, очистка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0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0D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0E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0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2.4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Ёмкость для воды - промывка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1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1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15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2.5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7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Сетевые насосы №1,2</w:t>
            </w:r>
            <w:r>
              <w:rPr>
                <w:b/>
                <w:color w:val="000000"/>
                <w:sz w:val="22"/>
                <w:szCs w:val="22"/>
              </w:rPr>
              <w:t xml:space="preserve"> К80-65-160 </w:t>
            </w:r>
            <w:r>
              <w:rPr>
                <w:sz w:val="22"/>
                <w:szCs w:val="22"/>
              </w:rPr>
              <w:t>– обслуживание, ремонт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1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1B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1C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E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Дымосос - </w:t>
            </w:r>
            <w:r>
              <w:rPr>
                <w:b/>
                <w:color w:val="000000"/>
                <w:sz w:val="22"/>
                <w:szCs w:val="22"/>
              </w:rPr>
              <w:t xml:space="preserve">Д-3,5 </w:t>
            </w:r>
            <w:r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1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08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2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22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23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2.7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подпиточной воды </w:t>
            </w:r>
            <w:r>
              <w:rPr>
                <w:b/>
                <w:bCs/>
                <w:sz w:val="22"/>
                <w:szCs w:val="22"/>
              </w:rPr>
              <w:t xml:space="preserve">ДЖИЛЕКС ДЖАМБО 60/35П </w:t>
            </w:r>
            <w:r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ревизия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2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29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2A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44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2.8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Ревизия запорной арматуры в пределах котельной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2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10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2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30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31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525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3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cnfStyle w:val="00000001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3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37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38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A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Щит управления, пускорегулирующая аппаратура в комплекте </w:t>
            </w:r>
            <w:r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3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3E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3F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2.11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41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45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4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Текущий ремонт здания - побелка, покраска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</w:tcPr>
          <w:p w14:paraId="0000014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4B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4C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34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4E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пробной топки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4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10.09.2023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6" w:type="pct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52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413"/>
        </w:trPr>
        <w:tc>
          <w:tcPr>
            <w:cnfStyle w:val="001000100000"/>
            <w:tcW w:w="4158" w:type="pct"/>
            <w:noWrap w:val="on"/>
            <w:gridSpan w:val="5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5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Тепловые сети </w:t>
            </w:r>
          </w:p>
        </w:tc>
        <w:tc>
          <w:tcPr>
            <w:cnfStyle w:val="000000100000"/>
            <w:tcW w:w="842" w:type="pct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</w:tcPr>
          <w:p w14:paraId="000001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>
        <w:trPr>
          <w:trHeight w:val="413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Тепловые сети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5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5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95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3.1</w:t>
            </w:r>
          </w:p>
        </w:tc>
        <w:tc>
          <w:tcPr>
            <w:cnfStyle w:val="000000100000"/>
            <w:tcW w:w="1747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C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70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706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5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60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61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743"/>
        </w:trPr>
        <w:tc>
          <w:tcPr>
            <w:cnfStyle w:val="001000010000"/>
            <w:tcW w:w="295" w:type="pct"/>
            <w:noWrap w:val="on"/>
            <w:tcBorders>
              <w:top w:val="nil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3.2</w:t>
            </w:r>
          </w:p>
        </w:tc>
        <w:tc>
          <w:tcPr>
            <w:cnfStyle w:val="000000010000"/>
            <w:tcW w:w="1747" w:type="pc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3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Промывка и гидравлические испытания тепловых сетей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705" w:type="pc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6" w:type="pc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</w:tcPr>
          <w:p w14:paraId="0000016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cnfStyle w:val="000000010000"/>
            <w:tcW w:w="842" w:type="pct"/>
            <w:tcBorders>
              <w:top w:val="single" w:color="auto" w:sz="4" w:space="0"/>
              <w:left w:val="nil" w:sz="4" w:space="0"/>
              <w:right w:val="single" w:color="auto" w:sz="4" w:space="0"/>
            </w:tcBorders>
          </w:tcPr>
          <w:p w14:paraId="00000167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>
        <w:trPr>
          <w:trHeight w:val="315"/>
        </w:trPr>
        <w:tc>
          <w:tcPr>
            <w:cnfStyle w:val="001000100000"/>
            <w:tcW w:w="295" w:type="pct"/>
            <w:noWrap w:val="on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1747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16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cnfStyle w:val="000000100000"/>
            <w:tcW w:w="705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5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6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6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43</w:t>
            </w:r>
          </w:p>
        </w:tc>
        <w:tc>
          <w:tcPr>
            <w:cnfStyle w:val="000000100000"/>
            <w:tcW w:w="842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6D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0000016E">
      <w:pPr>
        <w:rPr>
          <w:b/>
          <w:sz w:val="22"/>
          <w:szCs w:val="22"/>
        </w:rPr>
      </w:pPr>
    </w:p>
    <w:p w14:paraId="0000016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2. Объекты водоснабжения </w:t>
      </w:r>
    </w:p>
    <w:tbl>
      <w:tblPr>
        <w:tblW w:w="5000" w:type="pct"/>
        <w:tblInd w:w="-5" w:type="dxa"/>
        <w:tblLayout w:type="fixed"/>
        <w:tblLook w:val="04A0"/>
      </w:tblPr>
      <w:tblGrid>
        <w:gridCol w:w="611"/>
        <w:gridCol w:w="3888"/>
        <w:gridCol w:w="1620"/>
        <w:gridCol w:w="1530"/>
        <w:gridCol w:w="1503"/>
        <w:gridCol w:w="1853"/>
      </w:tblGrid>
      <w:tr>
        <w:trPr>
          <w:trHeight w:val="20"/>
        </w:trPr>
        <w:tc>
          <w:tcPr>
            <w:cnfStyle w:val="101000000000"/>
            <w:tcW w:w="278" w:type="pct"/>
            <w:noWrap w:val="on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7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cnfStyle w:val="100000000000"/>
            <w:tcW w:w="1766" w:type="pct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cnfStyle w:val="100000000000"/>
            <w:tcW w:w="736" w:type="pct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cnfStyle w:val="100000000000"/>
            <w:tcW w:w="1378" w:type="pct"/>
            <w:noWrap w:val="on"/>
            <w:gridSpan w:val="2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cnfStyle w:val="100000000000"/>
            <w:tcW w:w="842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7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78" w:type="pct"/>
            <w:noWrap w:val="on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1766" w:type="pct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36" w:type="pct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695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cnfStyle w:val="000000100000"/>
            <w:tcW w:w="683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0000017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Всего, тыс. руб.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cnfStyle w:val="000000100000"/>
            <w:tcW w:w="842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 w14:paraId="0000017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419"/>
        </w:trPr>
        <w:tc>
          <w:tcPr>
            <w:cnfStyle w:val="001000010000"/>
            <w:tcW w:w="278" w:type="pct"/>
            <w:noWrap w:val="on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7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cnfStyle w:val="000000010000"/>
            <w:tcW w:w="1766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7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Водозаборные сооружения</w:t>
            </w:r>
          </w:p>
        </w:tc>
        <w:tc>
          <w:tcPr>
            <w:cnfStyle w:val="000000010000"/>
            <w:tcW w:w="736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7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695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683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7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</w:tcPr>
          <w:p w14:paraId="0000018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78" w:type="pct"/>
            <w:noWrap w:val="on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cnfStyle w:val="000000100000"/>
            <w:tcW w:w="1766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Ревизия насоса </w:t>
            </w:r>
            <w:r>
              <w:rPr>
                <w:b/>
                <w:color w:val="000000"/>
                <w:sz w:val="22"/>
                <w:szCs w:val="22"/>
              </w:rPr>
              <w:t>К-20/30</w:t>
            </w:r>
            <w:r>
              <w:rPr>
                <w:color w:val="000000"/>
                <w:sz w:val="22"/>
                <w:szCs w:val="22"/>
              </w:rPr>
              <w:t xml:space="preserve"> насосной станции – обслуживание, ремонт</w:t>
            </w:r>
          </w:p>
        </w:tc>
        <w:tc>
          <w:tcPr>
            <w:cnfStyle w:val="000000100000"/>
            <w:tcW w:w="736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100000"/>
            <w:tcW w:w="695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шт.</w:t>
            </w:r>
          </w:p>
        </w:tc>
        <w:tc>
          <w:tcPr>
            <w:cnfStyle w:val="000000100000"/>
            <w:tcW w:w="683" w:type="pct"/>
            <w:noWrap w:val="on"/>
            <w:vMerge w:val="restart"/>
            <w:tcBorders>
              <w:top w:val="single" w:color="auto" w:sz="4" w:space="0"/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cnfStyle w:val="000000100000"/>
            <w:tcW w:w="842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86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87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78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4.2</w:t>
            </w:r>
          </w:p>
        </w:tc>
        <w:tc>
          <w:tcPr>
            <w:cnfStyle w:val="000000010000"/>
            <w:tcW w:w="176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электрооборудования насосной станции</w:t>
            </w:r>
          </w:p>
        </w:tc>
        <w:tc>
          <w:tcPr>
            <w:cnfStyle w:val="000000010000"/>
            <w:tcW w:w="73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cnfStyle w:val="000000010000"/>
            <w:tcW w:w="69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683" w:type="pct"/>
            <w:noWrap w:val="on"/>
            <w:vMerge w:val="continue"/>
            <w:tcBorders>
              <w:left w:val="nil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8D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8E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78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8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4.3</w:t>
            </w:r>
          </w:p>
        </w:tc>
        <w:tc>
          <w:tcPr>
            <w:cnfStyle w:val="000000100000"/>
            <w:tcW w:w="176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cnfStyle w:val="000000100000"/>
            <w:tcW w:w="736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0</w:t>
            </w:r>
            <w:r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cnfStyle w:val="000000100000"/>
            <w:tcW w:w="69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683" w:type="pct"/>
            <w:noWrap w:val="on"/>
            <w:vMerge w:val="continue"/>
            <w:tcBorders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cnfStyle w:val="00000010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94">
            <w:pPr>
              <w:ind w:left="-178" w:firstLine="17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14:paraId="00000195">
            <w:pPr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315"/>
        </w:trPr>
        <w:tc>
          <w:tcPr>
            <w:cnfStyle w:val="001000010000"/>
            <w:tcW w:w="278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176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7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cnfStyle w:val="000000010000"/>
            <w:tcW w:w="73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695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683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0019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cnfStyle w:val="000000010000"/>
            <w:tcW w:w="842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</w:tcPr>
          <w:p w14:paraId="0000019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0000019C">
      <w:pPr>
        <w:rPr>
          <w:b/>
          <w:sz w:val="22"/>
          <w:szCs w:val="22"/>
        </w:rPr>
      </w:pPr>
    </w:p>
    <w:p w14:paraId="0000019D">
      <w:pPr>
        <w:rPr>
          <w:b/>
          <w:sz w:val="22"/>
          <w:szCs w:val="22"/>
        </w:rPr>
      </w:pPr>
    </w:p>
    <w:p w14:paraId="0000019E">
      <w:pPr>
        <w:rPr>
          <w:b/>
          <w:sz w:val="22"/>
          <w:szCs w:val="22"/>
        </w:rPr>
      </w:pPr>
      <w:r>
        <w:rPr>
          <w:b/>
          <w:sz w:val="22"/>
          <w:szCs w:val="22"/>
        </w:rPr>
        <w:t>3. Многоквартирный жилой фонд</w:t>
      </w:r>
    </w:p>
    <w:p w14:paraId="0000019F">
      <w:pPr>
        <w:rPr>
          <w:b/>
          <w:sz w:val="22"/>
          <w:szCs w:val="22"/>
        </w:rPr>
      </w:pPr>
    </w:p>
    <w:tbl>
      <w:tblPr>
        <w:tblW w:w="4899" w:type="pct"/>
        <w:tblInd w:w="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495"/>
        <w:gridCol w:w="5386"/>
        <w:gridCol w:w="1485"/>
        <w:gridCol w:w="1512"/>
        <w:gridCol w:w="1810"/>
      </w:tblGrid>
      <w:tr>
        <w:trPr>
          <w:trHeight w:val="20"/>
        </w:trPr>
        <w:tc>
          <w:tcPr>
            <w:cnfStyle w:val="101000000000"/>
            <w:tcW w:w="232" w:type="pct"/>
            <w:noWrap w:val="on"/>
            <w:vMerge w:val="restart"/>
            <w:shd w:val="clear" w:color="ffffcc" w:fill="ffffff"/>
            <w:vAlign w:val="center"/>
          </w:tcPr>
          <w:p w14:paraId="000001A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cnfStyle w:val="100000000000"/>
            <w:tcW w:w="2519" w:type="pct"/>
            <w:vMerge w:val="restart"/>
            <w:shd w:val="clear" w:color="auto" w:fill="auto"/>
            <w:vAlign w:val="center"/>
          </w:tcPr>
          <w:p w14:paraId="000001A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cnfStyle w:val="100000000000"/>
            <w:tcW w:w="695" w:type="pct"/>
            <w:vMerge w:val="restart"/>
            <w:shd w:val="clear" w:color="auto" w:fill="auto"/>
            <w:vAlign w:val="center"/>
          </w:tcPr>
          <w:p w14:paraId="000001A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cnfStyle w:val="100000000000"/>
            <w:tcW w:w="1554" w:type="pct"/>
            <w:noWrap w:val="on"/>
            <w:gridSpan w:val="2"/>
            <w:shd w:val="clear" w:color="auto" w:fill="auto"/>
            <w:vAlign w:val="center"/>
          </w:tcPr>
          <w:p w14:paraId="000001A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>
        <w:trPr>
          <w:trHeight w:val="20"/>
        </w:trPr>
        <w:tc>
          <w:tcPr>
            <w:cnfStyle w:val="001000100000"/>
            <w:tcW w:w="232" w:type="pct"/>
            <w:noWrap w:val="on"/>
            <w:vMerge w:val="continue"/>
            <w:shd w:val="clear" w:color="ffffcc" w:fill="ffffff"/>
            <w:vAlign w:val="center"/>
          </w:tcPr>
          <w:p w14:paraId="000001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2519" w:type="pct"/>
            <w:vMerge w:val="continue"/>
            <w:shd w:val="clear" w:color="auto" w:fill="auto"/>
            <w:vAlign w:val="center"/>
          </w:tcPr>
          <w:p w14:paraId="000001A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695" w:type="pct"/>
            <w:vMerge w:val="continue"/>
            <w:shd w:val="clear" w:color="auto" w:fill="auto"/>
            <w:vAlign w:val="center"/>
          </w:tcPr>
          <w:p w14:paraId="000001A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7" w:type="pct"/>
            <w:noWrap w:val="on"/>
            <w:shd w:val="clear" w:color="auto" w:fill="auto"/>
            <w:vAlign w:val="center"/>
          </w:tcPr>
          <w:p w14:paraId="000001A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cnfStyle w:val="000000100000"/>
            <w:tcW w:w="847" w:type="pct"/>
            <w:noWrap w:val="on"/>
            <w:shd w:val="clear" w:color="000000" w:fill="ffffff"/>
            <w:vAlign w:val="center"/>
          </w:tcPr>
          <w:p w14:paraId="000001A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Всего, тыс. руб.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>
        <w:trPr>
          <w:trHeight w:val="20"/>
        </w:trPr>
        <w:tc>
          <w:tcPr>
            <w:cnfStyle w:val="001000010000"/>
            <w:tcW w:w="232" w:type="pct"/>
            <w:noWrap w:val="on"/>
            <w:shd w:val="clear" w:color="auto" w:fill="92d050"/>
            <w:vAlign w:val="center"/>
          </w:tcPr>
          <w:p w14:paraId="000001A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cnfStyle w:val="000000010000"/>
            <w:tcW w:w="2519" w:type="pct"/>
            <w:noWrap w:val="on"/>
            <w:shd w:val="clear" w:color="auto" w:fill="92d050"/>
            <w:vAlign w:val="center"/>
          </w:tcPr>
          <w:p w14:paraId="000001A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Вокзальная 3,7,6,10 Набережная 7,8</w:t>
            </w:r>
          </w:p>
        </w:tc>
        <w:tc>
          <w:tcPr>
            <w:cnfStyle w:val="000000010000"/>
            <w:tcW w:w="695" w:type="pct"/>
            <w:noWrap w:val="on"/>
            <w:shd w:val="clear" w:color="auto" w:fill="92d050"/>
            <w:vAlign w:val="center"/>
          </w:tcPr>
          <w:p w14:paraId="000001A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707" w:type="pct"/>
            <w:noWrap w:val="on"/>
            <w:shd w:val="clear" w:color="auto" w:fill="92d050"/>
            <w:vAlign w:val="center"/>
          </w:tcPr>
          <w:p w14:paraId="000001A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м²</w:t>
            </w:r>
          </w:p>
        </w:tc>
        <w:tc>
          <w:tcPr>
            <w:cnfStyle w:val="000000010000"/>
            <w:tcW w:w="847" w:type="pct"/>
            <w:shd w:val="clear" w:color="auto" w:fill="92d050"/>
            <w:vAlign w:val="center"/>
          </w:tcPr>
          <w:p w14:paraId="000001A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100000"/>
            <w:tcW w:w="232" w:type="pct"/>
            <w:noWrap w:val="on"/>
            <w:shd w:val="clear" w:color="ffffcc" w:fill="ffffff"/>
            <w:vAlign w:val="center"/>
          </w:tcPr>
          <w:p w14:paraId="000001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2519" w:type="pct"/>
            <w:shd w:val="clear" w:color="ffffcc" w:fill="ffffff"/>
          </w:tcPr>
          <w:p w14:paraId="000001A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Ревизия теплоисточников </w:t>
            </w:r>
          </w:p>
        </w:tc>
        <w:tc>
          <w:tcPr>
            <w:cnfStyle w:val="000000100000"/>
            <w:tcW w:w="695" w:type="pct"/>
            <w:noWrap w:val="on"/>
            <w:shd w:val="clear" w:color="ffffcc" w:fill="ffffff"/>
            <w:vAlign w:val="center"/>
          </w:tcPr>
          <w:p w14:paraId="000001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cnfStyle w:val="000000100000"/>
            <w:tcW w:w="707" w:type="pct"/>
            <w:noWrap w:val="on"/>
            <w:shd w:val="clear" w:color="ffffcc" w:fill="ffffff"/>
            <w:vAlign w:val="center"/>
          </w:tcPr>
          <w:p w14:paraId="000001B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7" w:type="pct"/>
            <w:noWrap w:val="on"/>
            <w:shd w:val="clear" w:color="ffffcc" w:fill="ffffff"/>
            <w:vAlign w:val="center"/>
          </w:tcPr>
          <w:p w14:paraId="000001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rPr>
          <w:trHeight w:val="20"/>
        </w:trPr>
        <w:tc>
          <w:tcPr>
            <w:cnfStyle w:val="001000010000"/>
            <w:tcW w:w="232" w:type="pct"/>
            <w:noWrap w:val="on"/>
            <w:shd w:val="clear" w:color="ffffcc" w:fill="ffffff"/>
            <w:vAlign w:val="center"/>
          </w:tcPr>
          <w:p w14:paraId="000001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2519" w:type="pct"/>
            <w:shd w:val="clear" w:color="ffffcc" w:fill="ffffff"/>
          </w:tcPr>
          <w:p w14:paraId="000001B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cnfStyle w:val="000000010000"/>
            <w:tcW w:w="695" w:type="pct"/>
            <w:noWrap w:val="on"/>
            <w:shd w:val="clear" w:color="ffffcc" w:fill="ffffff"/>
            <w:vAlign w:val="center"/>
          </w:tcPr>
          <w:p w14:paraId="000001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7" w:type="pct"/>
            <w:noWrap w:val="on"/>
            <w:shd w:val="clear" w:color="ffffcc" w:fill="ffffff"/>
            <w:vAlign w:val="center"/>
          </w:tcPr>
          <w:p w14:paraId="000001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7" w:type="pct"/>
            <w:noWrap w:val="on"/>
            <w:shd w:val="clear" w:color="ffffcc" w:fill="ffffff"/>
            <w:vAlign w:val="center"/>
          </w:tcPr>
          <w:p w14:paraId="000001B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14:paraId="000001B8">
      <w:pPr>
        <w:rPr>
          <w:b/>
          <w:bCs/>
          <w:color w:val="000000"/>
          <w:sz w:val="22"/>
          <w:szCs w:val="22"/>
        </w:rPr>
      </w:pPr>
    </w:p>
    <w:p w14:paraId="000001B9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4. Прочие объекты </w:t>
      </w:r>
    </w:p>
    <w:tbl>
      <w:tblPr>
        <w:tblW w:w="4899" w:type="pct"/>
        <w:tblInd w:w="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495"/>
        <w:gridCol w:w="5661"/>
        <w:gridCol w:w="1209"/>
        <w:gridCol w:w="1512"/>
        <w:gridCol w:w="1810"/>
      </w:tblGrid>
      <w:tr>
        <w:trPr>
          <w:trHeight w:val="20"/>
        </w:trPr>
        <w:tc>
          <w:tcPr>
            <w:cnfStyle w:val="101000000000"/>
            <w:tcW w:w="232" w:type="pct"/>
            <w:noWrap w:val="on"/>
            <w:vMerge w:val="restart"/>
            <w:shd w:val="clear" w:color="ffffcc" w:fill="ffffff"/>
            <w:vAlign w:val="center"/>
          </w:tcPr>
          <w:p w14:paraId="000001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cnfStyle w:val="100000000000"/>
            <w:tcW w:w="2648" w:type="pct"/>
            <w:vMerge w:val="restart"/>
            <w:shd w:val="clear" w:color="auto" w:fill="auto"/>
            <w:vAlign w:val="center"/>
          </w:tcPr>
          <w:p w14:paraId="000001B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cnfStyle w:val="100000000000"/>
            <w:tcW w:w="566" w:type="pct"/>
            <w:vMerge w:val="restart"/>
            <w:shd w:val="clear" w:color="auto" w:fill="auto"/>
            <w:vAlign w:val="center"/>
          </w:tcPr>
          <w:p w14:paraId="000001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cnfStyle w:val="100000000000"/>
            <w:tcW w:w="1554" w:type="pct"/>
            <w:noWrap w:val="on"/>
            <w:gridSpan w:val="2"/>
            <w:shd w:val="clear" w:color="auto" w:fill="auto"/>
            <w:vAlign w:val="center"/>
          </w:tcPr>
          <w:p w14:paraId="000001B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>
        <w:trPr>
          <w:trHeight w:val="20"/>
        </w:trPr>
        <w:tc>
          <w:tcPr>
            <w:cnfStyle w:val="001000100000"/>
            <w:tcW w:w="232" w:type="pct"/>
            <w:noWrap w:val="on"/>
            <w:vMerge w:val="continue"/>
            <w:shd w:val="clear" w:color="ffffcc" w:fill="ffffff"/>
            <w:vAlign w:val="center"/>
          </w:tcPr>
          <w:p w14:paraId="000001B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2648" w:type="pct"/>
            <w:vMerge w:val="continue"/>
            <w:shd w:val="clear" w:color="auto" w:fill="auto"/>
            <w:vAlign w:val="center"/>
          </w:tcPr>
          <w:p w14:paraId="000001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566" w:type="pct"/>
            <w:vMerge w:val="continue"/>
            <w:shd w:val="clear" w:color="auto" w:fill="auto"/>
            <w:vAlign w:val="center"/>
          </w:tcPr>
          <w:p w14:paraId="000001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707" w:type="pct"/>
            <w:noWrap w:val="on"/>
            <w:shd w:val="clear" w:color="auto" w:fill="auto"/>
            <w:vAlign w:val="center"/>
          </w:tcPr>
          <w:p w14:paraId="000001C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cnfStyle w:val="000000100000"/>
            <w:tcW w:w="847" w:type="pct"/>
            <w:noWrap w:val="on"/>
            <w:shd w:val="clear" w:color="000000" w:fill="ffffff"/>
            <w:vAlign w:val="center"/>
          </w:tcPr>
          <w:p w14:paraId="000001C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Всего, тыс. руб.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none" w:sz="4" w:space="0"/>
            <w:left w:val="none" w:sz="4" w:space="0"/>
            <w:bottom w:val="none" w:sz="4" w:space="0"/>
            <w:right w:val="none" w:sz="4" w:space="0"/>
            <w:insideH w:val="none" w:sz="4" w:space="0"/>
            <w:insideV w:val="none" w:sz="4" w:space="0"/>
          </w:tblBorders>
        </w:tblPrEx>
        <w:trPr>
          <w:trHeight w:val="345"/>
        </w:trPr>
        <w:tc>
          <w:tcPr>
            <w:cnfStyle w:val="001000010000"/>
            <w:tcW w:w="232" w:type="pct"/>
            <w:noWrap w:val="on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cnfStyle w:val="000000010000"/>
            <w:tcW w:w="2648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ПЧ-142</w:t>
            </w:r>
          </w:p>
        </w:tc>
        <w:tc>
          <w:tcPr>
            <w:cnfStyle w:val="000000010000"/>
            <w:tcW w:w="566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707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847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blPrEx>
          <w:tblBorders>
            <w:top w:val="none" w:sz="4" w:space="0"/>
            <w:left w:val="none" w:sz="4" w:space="0"/>
            <w:bottom w:val="none" w:sz="4" w:space="0"/>
            <w:right w:val="none" w:sz="4" w:space="0"/>
            <w:insideH w:val="none" w:sz="4" w:space="0"/>
            <w:insideV w:val="none" w:sz="4" w:space="0"/>
          </w:tblBorders>
        </w:tblPrEx>
        <w:trPr>
          <w:trHeight w:val="378"/>
        </w:trPr>
        <w:tc>
          <w:tcPr>
            <w:cnfStyle w:val="001000100000"/>
            <w:tcW w:w="232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C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2648" w:type="pct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cnfStyle w:val="000000100000"/>
            <w:tcW w:w="56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cnfStyle w:val="000000100000"/>
            <w:tcW w:w="70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C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C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sz="4" w:space="0"/>
            <w:left w:val="none" w:sz="4" w:space="0"/>
            <w:bottom w:val="none" w:sz="4" w:space="0"/>
            <w:right w:val="none" w:sz="4" w:space="0"/>
            <w:insideH w:val="none" w:sz="4" w:space="0"/>
            <w:insideV w:val="none" w:sz="4" w:space="0"/>
          </w:tblBorders>
        </w:tblPrEx>
        <w:trPr>
          <w:trHeight w:val="20"/>
        </w:trPr>
        <w:tc>
          <w:tcPr>
            <w:cnfStyle w:val="001000010000"/>
            <w:tcW w:w="232" w:type="pct"/>
            <w:noWrap w:val="on"/>
            <w:tcBorders>
              <w:top w:val="nil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cnfStyle w:val="000000010000"/>
            <w:tcW w:w="2648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center"/>
          </w:tcPr>
          <w:p w14:paraId="000001C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ИП «</w:t>
            </w:r>
            <w:r>
              <w:rPr>
                <w:color w:val="000000"/>
                <w:sz w:val="22"/>
                <w:szCs w:val="22"/>
              </w:rPr>
              <w:t>Кунц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cnfStyle w:val="000000010000"/>
            <w:tcW w:w="566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bottom"/>
          </w:tcPr>
          <w:p w14:paraId="000001C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70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bottom"/>
          </w:tcPr>
          <w:p w14:paraId="000001D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010000"/>
            <w:tcW w:w="84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vAlign w:val="bottom"/>
          </w:tcPr>
          <w:p w14:paraId="000001D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>
        <w:tblPrEx>
          <w:tblBorders>
            <w:top w:val="none" w:sz="4" w:space="0"/>
            <w:left w:val="none" w:sz="4" w:space="0"/>
            <w:bottom w:val="none" w:sz="4" w:space="0"/>
            <w:right w:val="none" w:sz="4" w:space="0"/>
            <w:insideH w:val="none" w:sz="4" w:space="0"/>
            <w:insideV w:val="none" w:sz="4" w:space="0"/>
          </w:tblBorders>
        </w:tblPrEx>
        <w:trPr>
          <w:trHeight w:val="400"/>
        </w:trPr>
        <w:tc>
          <w:tcPr>
            <w:cnfStyle w:val="001000100000"/>
            <w:tcW w:w="232" w:type="pct"/>
            <w:noWrap w:val="on"/>
            <w:tcBorders>
              <w:top w:val="nil" w:sz="4" w:space="0"/>
              <w:left w:val="single" w:color="auto" w:sz="4" w:space="0"/>
              <w:right w:val="single" w:color="auto" w:sz="4" w:space="0"/>
            </w:tcBorders>
            <w:shd w:val="clear" w:color="ffffcc" w:fill="ffffff"/>
            <w:vAlign w:val="bottom"/>
          </w:tcPr>
          <w:p w14:paraId="000001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cnfStyle w:val="000000100000"/>
            <w:tcW w:w="2648" w:type="pct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cnfStyle w:val="000000100000"/>
            <w:tcW w:w="566" w:type="pct"/>
            <w:noWrap w:val="on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cnfStyle w:val="000000100000"/>
            <w:tcW w:w="707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100000"/>
            <w:tcW w:w="847" w:type="pct"/>
            <w:noWrap w:val="on"/>
            <w:tcBorders>
              <w:top w:val="nil" w:sz="4" w:space="0"/>
              <w:left w:val="nil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sz="4" w:space="0"/>
            <w:left w:val="none" w:sz="4" w:space="0"/>
            <w:bottom w:val="none" w:sz="4" w:space="0"/>
            <w:right w:val="none" w:sz="4" w:space="0"/>
            <w:insideH w:val="none" w:sz="4" w:space="0"/>
            <w:insideV w:val="none" w:sz="4" w:space="0"/>
          </w:tblBorders>
        </w:tblPrEx>
        <w:trPr>
          <w:trHeight w:val="352"/>
        </w:trPr>
        <w:tc>
          <w:tcPr>
            <w:cnfStyle w:val="001000010000"/>
            <w:tcW w:w="232" w:type="pct"/>
            <w:noWrap w:val="on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bottom"/>
          </w:tcPr>
          <w:p w14:paraId="000001D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2648" w:type="pct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cnfStyle w:val="000000010000"/>
            <w:tcW w:w="566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707" w:type="pct"/>
            <w:noWrap w:val="on"/>
            <w:tcBorders>
              <w:top w:val="nil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cnfStyle w:val="000000010000"/>
            <w:tcW w:w="847" w:type="pct"/>
            <w:noWrap w:val="on"/>
            <w:tcBorders>
              <w:top w:val="single" w:color="auto" w:sz="4" w:space="0"/>
              <w:left w:val="nil" w:sz="4" w:space="0"/>
              <w:bottom w:val="single" w:color="auto" w:sz="4" w:space="0"/>
              <w:right w:val="single" w:color="auto" w:sz="4" w:space="0"/>
            </w:tcBorders>
            <w:shd w:val="clear" w:color="ffffcc" w:fill="ffffff"/>
            <w:vAlign w:val="center"/>
          </w:tcPr>
          <w:p w14:paraId="000001D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14:paraId="000001DC">
      <w:pPr>
        <w:rPr>
          <w:b/>
          <w:bCs/>
          <w:color w:val="000000"/>
          <w:sz w:val="20"/>
          <w:szCs w:val="20"/>
        </w:rPr>
      </w:pPr>
    </w:p>
    <w:p w14:paraId="000001DD"/>
    <w:p w14:paraId="000001DE">
      <w:pPr>
        <w:rPr>
          <w:b/>
          <w:bCs/>
          <w:color w:val="000000"/>
          <w:sz w:val="20"/>
          <w:szCs w:val="20"/>
        </w:rPr>
      </w:pPr>
    </w:p>
    <w:p w14:paraId="000001DF"/>
    <w:p w14:paraId="000001E0">
      <w:pPr>
        <w:rPr>
          <w:b/>
          <w:bCs/>
          <w:color w:val="000000"/>
          <w:sz w:val="28"/>
          <w:szCs w:val="28"/>
        </w:rPr>
        <w:sectPr>
          <w:pgSz w:w="11906" w:h="16838"/>
          <w:pgMar w:top="1134" w:right="567" w:bottom="567" w:left="567" w:header="709" w:footer="709" w:gutter="0"/>
          <w:cols w:space="708"/>
        </w:sectPr>
      </w:pPr>
      <w:r>
        <w:rPr>
          <w:b/>
          <w:sz w:val="22"/>
          <w:szCs w:val="22"/>
        </w:rPr>
        <w:t>
</w:t>
      </w:r>
    </w:p>
    <w:p w14:paraId="000001E1">
      <w:pPr>
        <w:jc w:val="right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П</w:t>
      </w:r>
      <w:r>
        <w:rPr>
          <w:sz w:val="20"/>
          <w:szCs w:val="20"/>
        </w:rPr>
        <w:t xml:space="preserve">риложение </w:t>
      </w:r>
      <w:r>
        <w:rPr>
          <w:sz w:val="20"/>
          <w:szCs w:val="20"/>
        </w:rPr>
        <w:t>№3</w:t>
      </w:r>
    </w:p>
    <w:p w14:paraId="000001E2">
      <w:pPr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главы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Портбайкальского </w:t>
      </w:r>
      <w:r>
        <w:rPr>
          <w:sz w:val="20"/>
          <w:szCs w:val="20"/>
        </w:rPr>
        <w:t xml:space="preserve">МО </w:t>
      </w:r>
    </w:p>
    <w:p w14:paraId="000001E3">
      <w:pPr>
        <w:jc w:val="right"/>
        <w:rPr>
          <w:sz w:val="20"/>
          <w:szCs w:val="20"/>
          <w:u w:val="single"/>
        </w:rPr>
      </w:pPr>
      <w:r>
        <w:rPr>
          <w:sz w:val="20"/>
          <w:szCs w:val="20"/>
        </w:rPr>
        <w:t>от</w:t>
      </w:r>
      <w:r>
        <w:rPr>
          <w:sz w:val="20"/>
          <w:szCs w:val="20"/>
        </w:rPr>
        <w:t xml:space="preserve"> 13</w:t>
      </w:r>
      <w:r>
        <w:rPr>
          <w:sz w:val="20"/>
          <w:szCs w:val="20"/>
        </w:rPr>
        <w:t>.0</w:t>
      </w:r>
      <w:r>
        <w:rPr>
          <w:sz w:val="20"/>
          <w:szCs w:val="20"/>
        </w:rPr>
        <w:t>5</w:t>
      </w:r>
      <w:r>
        <w:rPr>
          <w:sz w:val="20"/>
          <w:szCs w:val="20"/>
        </w:rPr>
        <w:t>.</w:t>
      </w:r>
      <w:r>
        <w:rPr>
          <w:sz w:val="20"/>
          <w:szCs w:val="20"/>
        </w:rPr>
        <w:t>2024</w:t>
      </w:r>
      <w:r>
        <w:rPr>
          <w:sz w:val="20"/>
          <w:szCs w:val="20"/>
        </w:rPr>
        <w:t xml:space="preserve"> года №</w:t>
      </w:r>
      <w:r>
        <w:rPr>
          <w:sz w:val="20"/>
          <w:szCs w:val="20"/>
        </w:rPr>
        <w:t xml:space="preserve"> 21</w:t>
      </w:r>
    </w:p>
    <w:p w14:paraId="000001E4">
      <w:pPr>
        <w:jc w:val="right"/>
        <w:rPr>
          <w:sz w:val="20"/>
          <w:szCs w:val="20"/>
        </w:rPr>
      </w:pPr>
    </w:p>
    <w:p w14:paraId="000001E5">
      <w:pPr>
        <w:jc w:val="right"/>
        <w:rPr/>
      </w:pPr>
    </w:p>
    <w:p w14:paraId="000001E6">
      <w:pPr>
        <w:jc w:val="right"/>
        <w:rPr/>
      </w:pPr>
    </w:p>
    <w:p w14:paraId="000001E7">
      <w:pPr>
        <w:jc w:val="center"/>
        <w:rPr>
          <w:b/>
        </w:rPr>
      </w:pPr>
      <w:r>
        <w:rPr>
          <w:b/>
        </w:rPr>
        <w:t>Программ</w:t>
      </w:r>
      <w:r>
        <w:rPr>
          <w:b/>
        </w:rPr>
        <w:t>а</w:t>
      </w:r>
      <w:r>
        <w:rPr>
          <w:b/>
        </w:rPr>
        <w:t xml:space="preserve"> проведения</w:t>
      </w:r>
      <w:r>
        <w:rPr>
          <w:b/>
        </w:rPr>
        <w:t xml:space="preserve"> проверки готовности</w:t>
      </w:r>
      <w:r>
        <w:rPr>
          <w:b/>
        </w:rPr>
        <w:t xml:space="preserve"> Портбайкальского</w:t>
      </w:r>
      <w:r>
        <w:rPr>
          <w:b/>
        </w:rPr>
        <w:t xml:space="preserve"> муниципального </w:t>
      </w:r>
    </w:p>
    <w:p w14:paraId="000001E8">
      <w:pPr>
        <w:jc w:val="center"/>
        <w:rPr>
          <w:b/>
        </w:rPr>
      </w:pPr>
      <w:r>
        <w:rPr>
          <w:b/>
        </w:rPr>
        <w:t xml:space="preserve">образования к отопительному периоду </w:t>
      </w:r>
      <w:r>
        <w:rPr>
          <w:b/>
        </w:rPr>
        <w:t>2024-2025 годов</w:t>
      </w:r>
      <w:r>
        <w:rPr>
          <w:b/>
        </w:rPr>
        <w:t>.</w:t>
      </w:r>
    </w:p>
    <w:p w14:paraId="000001E9">
      <w:pPr>
        <w:jc w:val="center"/>
        <w:rPr>
          <w:b/>
        </w:rPr>
      </w:pPr>
    </w:p>
    <w:p w14:paraId="000001EA">
      <w:pPr>
        <w:ind w:firstLine="567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>Общие положения.</w:t>
      </w:r>
    </w:p>
    <w:p w14:paraId="000001EB">
      <w:pPr>
        <w:ind w:firstLine="567"/>
        <w:jc w:val="both"/>
        <w:rPr/>
      </w:pPr>
      <w: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</w:t>
      </w:r>
      <w:r>
        <w:t xml:space="preserve"> и</w:t>
      </w:r>
      <w:r>
        <w:t xml:space="preserve"> его организованное проведение, в целях достижения устойчивого тепло-, водо-, электро-, газо- и топливоснабжения</w:t>
      </w:r>
      <w:r>
        <w:t xml:space="preserve"> потребителей, поддержания необходимых параметров энергоносителей и обеспечения нормативного температурного режима в зданиях с учетом их на</w:t>
      </w:r>
      <w:r>
        <w:t>значения и платежной дисциплины потребителей жилищно-коммунальных услуг, являются важнейшей задачей органов</w:t>
      </w:r>
      <w:r>
        <w:t xml:space="preserve"> местного самоуправления, организаций жилищно-коммунального хозяйства.</w:t>
      </w:r>
    </w:p>
    <w:p w14:paraId="000001EC">
      <w:pPr>
        <w:ind w:firstLine="567"/>
        <w:jc w:val="both"/>
        <w:rPr/>
      </w:pPr>
      <w:r>
        <w:t xml:space="preserve">Подготовка объектов жилищно-коммунального хозяйства к </w:t>
      </w:r>
      <w:r>
        <w:t>ото</w:t>
      </w:r>
      <w:r>
        <w:t>пительному</w:t>
      </w:r>
      <w:r>
        <w:t xml:space="preserve"> периоду проводится в целях исключения влияния температу</w:t>
      </w:r>
      <w:r>
        <w:t>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</w:t>
      </w:r>
      <w:r>
        <w:t xml:space="preserve"> жизнедеятельно</w:t>
      </w:r>
      <w:r>
        <w:t>сти населения и режимов функционирования систем коммунальной инфраструктуры</w:t>
      </w:r>
      <w:r>
        <w:t xml:space="preserve"> и инженерно-технического обеспечения зданий в отопительный период.</w:t>
      </w:r>
    </w:p>
    <w:p w14:paraId="000001ED">
      <w:pPr>
        <w:ind w:firstLine="567"/>
        <w:jc w:val="both"/>
        <w:rPr/>
      </w:pPr>
      <w:r>
        <w:t>Подготовка объектов жилищно-коммунального</w:t>
      </w:r>
      <w:r>
        <w:t xml:space="preserve"> хозяйства</w:t>
      </w:r>
      <w:r>
        <w:t xml:space="preserve"> к</w:t>
      </w:r>
      <w:r>
        <w:t xml:space="preserve"> отопительному периоду</w:t>
      </w:r>
      <w:r>
        <w:t xml:space="preserve"> </w:t>
      </w:r>
      <w:r>
        <w:t>2024-2025 годов</w:t>
      </w:r>
      <w:r>
        <w:t xml:space="preserve"> </w:t>
      </w:r>
      <w:r>
        <w:t>должна обеспечивать:</w:t>
      </w:r>
    </w:p>
    <w:p w14:paraId="000001EE">
      <w:pPr>
        <w:ind w:firstLine="567"/>
        <w:jc w:val="both"/>
        <w:rPr/>
      </w:pPr>
      <w:r>
        <w:t xml:space="preserve">- </w:t>
      </w:r>
      <w:r>
        <w:t>нормативную техническую эксплуатацию объектов жилищно-коммунального хозяйства, соблюдение установленного температурно-влажностного</w:t>
      </w:r>
      <w:r>
        <w:t xml:space="preserve"> режима в помещениях, санитарно-гигиенических условий проживания населения;</w:t>
      </w:r>
    </w:p>
    <w:p w14:paraId="000001EF">
      <w:pPr>
        <w:ind w:firstLine="567"/>
        <w:jc w:val="both"/>
        <w:rPr/>
      </w:pPr>
      <w:r>
        <w:t xml:space="preserve">- </w:t>
      </w:r>
      <w:r>
        <w:t xml:space="preserve">максимальную надежность </w:t>
      </w:r>
      <w:r>
        <w:t>и</w:t>
      </w:r>
      <w:r>
        <w:t xml:space="preserve"> экономичность работы объектов жилищно-коммунального хозяйства;</w:t>
      </w:r>
    </w:p>
    <w:p w14:paraId="000001F0">
      <w:pPr>
        <w:ind w:firstLine="567"/>
        <w:jc w:val="both"/>
        <w:rPr/>
      </w:pPr>
      <w:r>
        <w:t xml:space="preserve">- </w:t>
      </w:r>
      <w:r>
        <w:t>соблюдение нормативных сроков службы строительных конструкций и</w:t>
      </w:r>
      <w:r>
        <w:t xml:space="preserve"> систем инженерно-технического обеспечения зданий жилищного фонда и социальной сферы, оборудования коммунальных сооружений;</w:t>
      </w:r>
    </w:p>
    <w:p w14:paraId="000001F1">
      <w:pPr>
        <w:ind w:firstLine="567"/>
        <w:jc w:val="both"/>
        <w:rPr/>
      </w:pPr>
      <w:r>
        <w:t xml:space="preserve">- </w:t>
      </w:r>
      <w:r>
        <w:t>рациональное расходование материально-технических средств</w:t>
      </w:r>
      <w:r>
        <w:t xml:space="preserve"> и топливно-энергетических ресурсов.</w:t>
      </w:r>
    </w:p>
    <w:p w14:paraId="000001F2">
      <w:pPr>
        <w:ind w:firstLine="567"/>
        <w:jc w:val="both"/>
        <w:rPr/>
      </w:pPr>
      <w:r>
        <w:t xml:space="preserve">Своевременная и качественная подготовка объектов жилищно-коммунального хозяйства к отопительному периоду </w:t>
      </w:r>
      <w:r>
        <w:t>2024-2025 годов</w:t>
      </w:r>
      <w:r>
        <w:t xml:space="preserve"> </w:t>
      </w:r>
      <w:r>
        <w:t xml:space="preserve">достигается: </w:t>
      </w:r>
    </w:p>
    <w:p w14:paraId="000001F3">
      <w:pPr>
        <w:ind w:firstLine="567"/>
        <w:jc w:val="both"/>
        <w:rPr/>
      </w:pPr>
      <w:r>
        <w:t xml:space="preserve">- </w:t>
      </w:r>
      <w:r>
        <w:t>выполнением</w:t>
      </w:r>
      <w:r>
        <w:t xml:space="preserve"> </w:t>
      </w:r>
      <w:r>
        <w:t>должностными лицами требований федерального и областного законодательства, муниципальных нормативных правовых актов, требований правил,</w:t>
      </w:r>
      <w:r>
        <w:t xml:space="preserve"> руководств и инструкций по эксплуатации объектов жилищно-коммунального хозяйства;</w:t>
      </w:r>
    </w:p>
    <w:p w14:paraId="000001F4">
      <w:pPr>
        <w:ind w:firstLine="567"/>
        <w:jc w:val="both"/>
        <w:rPr/>
      </w:pPr>
      <w:r>
        <w:t xml:space="preserve">- </w:t>
      </w:r>
      <w:r>
        <w:t>разработкой и соблюдением</w:t>
      </w:r>
      <w:r>
        <w:t xml:space="preserve"> проектно-сметной документации на строительство,</w:t>
      </w:r>
      <w:r>
        <w:t xml:space="preserve"> планов капитального</w:t>
      </w:r>
      <w:r>
        <w:t>и текущего ремонтов, а</w:t>
      </w:r>
      <w:r>
        <w:t xml:space="preserve"> также технического обслуживания объектов ж</w:t>
      </w:r>
      <w:r>
        <w:t>илищно-коммунального хозяйства;</w:t>
      </w:r>
    </w:p>
    <w:p w14:paraId="000001F5">
      <w:pPr>
        <w:ind w:firstLine="567"/>
        <w:jc w:val="both"/>
        <w:rPr/>
      </w:pPr>
      <w:r>
        <w:t xml:space="preserve">- </w:t>
      </w:r>
      <w:r>
        <w:t>постоянным контролем за техническим состоянием, проведением всех видов</w:t>
      </w:r>
      <w:r>
        <w:t xml:space="preserve"> пл</w:t>
      </w:r>
      <w:r>
        <w:t>аново-предупредительных осмотров, а также тщательным анализом причин возникновения аварий и неисправностей и определением необходимого</w:t>
      </w:r>
      <w:r>
        <w:t xml:space="preserve"> объема ремонтно-восстановительных работ;</w:t>
      </w:r>
    </w:p>
    <w:p w14:paraId="000001F6">
      <w:pPr>
        <w:ind w:firstLine="567"/>
        <w:jc w:val="both"/>
        <w:rPr/>
      </w:pPr>
      <w:r>
        <w:t xml:space="preserve">- </w:t>
      </w:r>
      <w:r>
        <w:t xml:space="preserve">четкой организацией и выполнением ремонтно-восстановительных и наладочных работ в установленные сроки и с требуемым </w:t>
      </w:r>
      <w:r>
        <w:t>качеством, эффективной системой постановки задач и подведения итогов</w:t>
      </w:r>
      <w:r>
        <w:t xml:space="preserve"> ремонтно-восстановительных работ;</w:t>
      </w:r>
    </w:p>
    <w:p w14:paraId="000001F7">
      <w:pPr>
        <w:ind w:firstLine="567"/>
        <w:jc w:val="both"/>
        <w:rPr/>
      </w:pPr>
      <w:r>
        <w:t xml:space="preserve">- </w:t>
      </w:r>
      <w:r>
        <w:t>укомплектованием организаций жилищно-коммунал</w:t>
      </w:r>
      <w:r>
        <w:t xml:space="preserve">ьного хозяйства подготовленным </w:t>
      </w:r>
      <w:r>
        <w:t xml:space="preserve">эксплуатационным </w:t>
      </w:r>
      <w:r>
        <w:t>и эксплуатационно-ремонтным персоналом до</w:t>
      </w:r>
      <w:r>
        <w:t xml:space="preserve"> уровня, обеспечивающего решение возлагаемых задач;</w:t>
      </w:r>
    </w:p>
    <w:p w14:paraId="000001F8">
      <w:pPr>
        <w:ind w:firstLine="567"/>
        <w:jc w:val="both"/>
        <w:rPr/>
      </w:pPr>
      <w:r>
        <w:t xml:space="preserve">- </w:t>
      </w:r>
      <w:r>
        <w:t>материально-техническим обеспечением</w:t>
      </w:r>
      <w:r>
        <w:t xml:space="preserve"> ре</w:t>
      </w:r>
      <w:r>
        <w:t>монтно-восстановительных работ,</w:t>
      </w:r>
      <w:r>
        <w:t xml:space="preserve"> выделением необходимого целевого финансирования на эксплуатационные нужды,капитальный и текущий ремонты фонда, рациональным использованием</w:t>
      </w:r>
      <w:r>
        <w:t xml:space="preserve"> материальных ресурсов;</w:t>
      </w:r>
    </w:p>
    <w:p w14:paraId="000001F9">
      <w:pPr>
        <w:ind w:firstLine="567"/>
        <w:jc w:val="both"/>
        <w:rPr/>
      </w:pPr>
      <w:r>
        <w:t xml:space="preserve">- </w:t>
      </w:r>
      <w:r>
        <w:t xml:space="preserve">выполнением в полном объеме организационно-технических мероприятий перед началом отопительного периода, комплекса проверок </w:t>
      </w:r>
      <w:r>
        <w:t>и испытаний оборудования на функционирование.</w:t>
      </w:r>
    </w:p>
    <w:p w14:paraId="000001FA">
      <w:pPr>
        <w:ind w:firstLine="567"/>
        <w:jc w:val="both"/>
        <w:rPr>
          <w:b/>
        </w:rPr>
      </w:pPr>
      <w:r>
        <w:rPr>
          <w:b/>
        </w:rPr>
        <w:t>2.</w:t>
      </w:r>
      <w:r>
        <w:rPr>
          <w:b/>
        </w:rPr>
        <w:t xml:space="preserve"> Работа комиссии по проверке готовности к отопительному периоду.</w:t>
      </w:r>
    </w:p>
    <w:p w14:paraId="000001FB">
      <w:pPr>
        <w:ind w:firstLine="567"/>
        <w:jc w:val="both"/>
        <w:rPr/>
      </w:pPr>
      <w:r>
        <w:t>2.1.</w:t>
      </w:r>
      <w:r>
        <w:t>Администрация</w:t>
      </w:r>
      <w:r>
        <w:t xml:space="preserve"> </w:t>
      </w:r>
      <w:r>
        <w:t xml:space="preserve">Портбайкальского </w:t>
      </w:r>
      <w:r>
        <w:t>муниципального</w:t>
      </w:r>
      <w:r>
        <w:t xml:space="preserve"> обра</w:t>
      </w:r>
      <w:r>
        <w:t>зования</w:t>
      </w:r>
      <w:r>
        <w:t xml:space="preserve"> организует:</w:t>
      </w:r>
    </w:p>
    <w:p w14:paraId="000001FC">
      <w:pPr>
        <w:ind w:firstLine="567"/>
        <w:jc w:val="both"/>
        <w:rPr/>
      </w:pPr>
      <w:r>
        <w:t xml:space="preserve">- </w:t>
      </w:r>
      <w:r>
        <w:t>работу комиссии по проверке готовности к отопительному периоду источников</w:t>
      </w:r>
      <w:r>
        <w:t xml:space="preserve"> теплосна</w:t>
      </w:r>
      <w:r>
        <w:t>бжения, тепловых пунктов, тепловых</w:t>
      </w:r>
      <w:r>
        <w:t xml:space="preserve"> сетей муниципальн</w:t>
      </w:r>
      <w:r>
        <w:t>ого</w:t>
      </w:r>
      <w:r>
        <w:t xml:space="preserve"> образования и в целом теплоснабжающи</w:t>
      </w:r>
      <w:r>
        <w:t>е</w:t>
      </w:r>
      <w:r>
        <w:t xml:space="preserve"> организаци</w:t>
      </w:r>
      <w:r>
        <w:t>и</w:t>
      </w:r>
      <w:r>
        <w:t>;</w:t>
      </w:r>
    </w:p>
    <w:p w14:paraId="000001FD">
      <w:pPr>
        <w:ind w:firstLine="567"/>
        <w:jc w:val="both"/>
        <w:rPr/>
      </w:pPr>
      <w:r>
        <w:t xml:space="preserve">- </w:t>
      </w:r>
      <w:r>
        <w:t>работу комиссии по проверке готовности к отопительному</w:t>
      </w:r>
      <w:r>
        <w:t xml:space="preserve"> периоду объектов </w:t>
      </w:r>
      <w:r>
        <w:t>жилищно-коммунального хозяйства</w:t>
      </w:r>
      <w:r>
        <w:t>;</w:t>
      </w:r>
    </w:p>
    <w:p w14:paraId="000001FE">
      <w:pPr>
        <w:ind w:firstLine="567"/>
        <w:jc w:val="both"/>
        <w:rPr/>
      </w:pPr>
      <w:r>
        <w:t xml:space="preserve">- </w:t>
      </w:r>
      <w:r>
        <w:t>проверку готовности жилищного фонда к приему</w:t>
      </w:r>
      <w:r>
        <w:t xml:space="preserve"> тепла,</w:t>
      </w:r>
      <w:r>
        <w:t xml:space="preserve"> </w:t>
      </w:r>
      <w:r>
        <w:t xml:space="preserve">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</w:t>
      </w:r>
      <w:r>
        <w:t>угля.</w:t>
      </w:r>
    </w:p>
    <w:p w14:paraId="000001FF">
      <w:pPr>
        <w:ind w:firstLine="567"/>
        <w:jc w:val="both"/>
        <w:rPr/>
      </w:pPr>
      <w:r>
        <w:t>Оценка готовности к отопительному периоду источников теплоснабжения,  тепловых пунктов, тепловых сетей муниципальн</w:t>
      </w:r>
      <w:r>
        <w:t>ого</w:t>
      </w:r>
      <w:r>
        <w:t xml:space="preserve"> образовани</w:t>
      </w:r>
      <w:r>
        <w:t>я</w:t>
      </w:r>
      <w:r>
        <w:t xml:space="preserve"> и в целом теплоснабжающ</w:t>
      </w:r>
      <w:r>
        <w:t>ей</w:t>
      </w:r>
      <w:r>
        <w:t xml:space="preserve"> организаци</w:t>
      </w:r>
      <w:r>
        <w:t>и</w:t>
      </w:r>
      <w:r>
        <w:t xml:space="preserve"> опр</w:t>
      </w:r>
      <w:r>
        <w:t xml:space="preserve">еделяется не позднее </w:t>
      </w:r>
      <w:r>
        <w:t>01 октября</w:t>
      </w:r>
      <w:r>
        <w:t xml:space="preserve"> </w:t>
      </w:r>
      <w:r>
        <w:t>2024</w:t>
      </w:r>
      <w:r>
        <w:t xml:space="preserve"> года Комиссией по</w:t>
      </w:r>
      <w:r>
        <w:t xml:space="preserve"> подготовке и оценке готовности</w:t>
      </w:r>
      <w:r>
        <w:t xml:space="preserve"> теплоснабжающих организаций и потребителей тепловой эне</w:t>
      </w:r>
      <w:r>
        <w:t>ргии</w:t>
      </w:r>
      <w:r>
        <w:t xml:space="preserve"> Портбайкальского</w:t>
      </w:r>
      <w:r>
        <w:t xml:space="preserve"> муниципального образования  к работе в</w:t>
      </w:r>
      <w:r>
        <w:t xml:space="preserve"> отопительный период </w:t>
      </w:r>
      <w:r>
        <w:t>2024-2025 годов</w:t>
      </w:r>
      <w:r>
        <w:t xml:space="preserve"> (далее – Комиссия)</w:t>
      </w:r>
      <w:r>
        <w:t>.</w:t>
      </w:r>
    </w:p>
    <w:p w14:paraId="00000200">
      <w:pPr>
        <w:ind w:firstLine="567"/>
        <w:jc w:val="both"/>
        <w:rPr/>
      </w:pPr>
      <w:r>
        <w:t xml:space="preserve">Работа Комиссии осуществляется в соответствии с графиком </w:t>
      </w:r>
      <w:r>
        <w:t>проведения проверки готовности к отопительному периоду (</w:t>
      </w:r>
      <w:r>
        <w:t>Т</w:t>
      </w:r>
      <w:r>
        <w:t xml:space="preserve">аблица </w:t>
      </w:r>
      <w:r>
        <w:t>№</w:t>
      </w:r>
      <w:r>
        <w:t>1), в котором указываются:</w:t>
      </w:r>
    </w:p>
    <w:p w14:paraId="00000201">
      <w:pPr>
        <w:ind w:firstLine="567"/>
        <w:jc w:val="both"/>
        <w:rPr/>
      </w:pPr>
      <w:r>
        <w:t xml:space="preserve">- </w:t>
      </w:r>
      <w:r>
        <w:t>объекты, подлежащие проверке;</w:t>
      </w:r>
    </w:p>
    <w:p w14:paraId="00000202">
      <w:pPr>
        <w:ind w:firstLine="567"/>
        <w:jc w:val="both"/>
        <w:rPr/>
      </w:pPr>
      <w:r>
        <w:t xml:space="preserve">- </w:t>
      </w:r>
      <w:r>
        <w:t>сроки проведения проверки;</w:t>
      </w:r>
    </w:p>
    <w:p w14:paraId="00000203">
      <w:pPr>
        <w:ind w:firstLine="567"/>
        <w:jc w:val="both"/>
        <w:rPr/>
      </w:pPr>
      <w:r>
        <w:t xml:space="preserve">- </w:t>
      </w:r>
      <w:r>
        <w:t>документы, проверяемые в ходе проведения проверки.</w:t>
      </w:r>
    </w:p>
    <w:p w14:paraId="00000204">
      <w:pPr>
        <w:ind w:firstLine="709"/>
        <w:jc w:val="right"/>
        <w:rPr/>
      </w:pPr>
      <w:r>
        <w:t xml:space="preserve">Таблица </w:t>
      </w:r>
      <w:r>
        <w:t>№</w:t>
      </w:r>
      <w:r>
        <w:t>1</w:t>
      </w:r>
      <w:r>
        <w:t>.</w:t>
      </w:r>
    </w:p>
    <w:p w14:paraId="00000205">
      <w:pPr>
        <w:ind w:firstLine="709"/>
        <w:jc w:val="right"/>
        <w:rPr/>
      </w:pPr>
    </w:p>
    <w:p w14:paraId="00000206">
      <w:pPr>
        <w:ind w:firstLine="709"/>
        <w:jc w:val="center"/>
        <w:rPr/>
      </w:pPr>
      <w:r>
        <w:t>График проведения проверки гот</w:t>
      </w:r>
      <w:r>
        <w:t xml:space="preserve">овности к отопительному </w:t>
      </w:r>
    </w:p>
    <w:p w14:paraId="00000207">
      <w:pPr>
        <w:ind w:firstLine="709"/>
        <w:jc w:val="center"/>
        <w:rPr/>
      </w:pPr>
      <w:r>
        <w:t xml:space="preserve">периоду </w:t>
      </w:r>
      <w:r>
        <w:t>2024-2025 годов</w:t>
      </w:r>
      <w:r>
        <w:t>.</w:t>
      </w:r>
    </w:p>
    <w:tbl>
      <w:tblPr>
        <w:tblW w:w="98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/>
      </w:tblPr>
      <w:tblGrid>
        <w:gridCol w:w="1168"/>
        <w:gridCol w:w="2981"/>
        <w:gridCol w:w="1431"/>
        <w:gridCol w:w="1500"/>
        <w:gridCol w:w="2809"/>
      </w:tblGrid>
      <w:tr>
        <w:trPr>
          <w:trHeight w:val="1044"/>
        </w:trPr>
        <w:tc>
          <w:tcPr>
            <w:cnfStyle w:val="101000000000"/>
            <w:tcW w:w="668" w:type="dxa"/>
            <w:vAlign w:val="center"/>
          </w:tcPr>
          <w:p w14:paraId="00000208">
            <w:pPr>
              <w:ind w:firstLine="709"/>
              <w:jc w:val="center"/>
              <w:rPr/>
            </w:pPr>
            <w:r>
              <w:t xml:space="preserve">№ </w:t>
            </w:r>
            <w:r>
              <w:t xml:space="preserve">№ </w:t>
            </w:r>
            <w:r>
              <w:t>п/п</w:t>
            </w:r>
          </w:p>
          <w:p w14:paraId="00000209">
            <w:pPr>
              <w:ind w:firstLine="709"/>
              <w:jc w:val="center"/>
              <w:rPr/>
            </w:pPr>
          </w:p>
        </w:tc>
        <w:tc>
          <w:tcPr>
            <w:cnfStyle w:val="100000000000"/>
            <w:tcW w:w="3409" w:type="dxa"/>
            <w:vAlign w:val="center"/>
          </w:tcPr>
          <w:p w14:paraId="0000020A">
            <w:pPr>
              <w:jc w:val="center"/>
              <w:rPr/>
            </w:pPr>
            <w:r>
              <w:t>Объекты, подлежащие  проверке</w:t>
            </w:r>
          </w:p>
        </w:tc>
        <w:tc>
          <w:tcPr>
            <w:cnfStyle w:val="100000000000"/>
            <w:tcW w:w="1417" w:type="dxa"/>
            <w:vAlign w:val="center"/>
          </w:tcPr>
          <w:p w14:paraId="0000020B">
            <w:pPr>
              <w:jc w:val="center"/>
              <w:rPr/>
            </w:pPr>
            <w:r>
              <w:t>Количество объектов</w:t>
            </w:r>
          </w:p>
        </w:tc>
        <w:tc>
          <w:tcPr>
            <w:cnfStyle w:val="100000000000"/>
            <w:tcW w:w="1715" w:type="dxa"/>
            <w:vAlign w:val="center"/>
          </w:tcPr>
          <w:p w14:paraId="0000020C">
            <w:pPr>
              <w:jc w:val="center"/>
              <w:rPr/>
            </w:pPr>
            <w:r>
              <w:t>Сроки проведения проверки</w:t>
            </w:r>
          </w:p>
        </w:tc>
        <w:tc>
          <w:tcPr>
            <w:cnfStyle w:val="100000000000"/>
            <w:tcW w:w="2680" w:type="dxa"/>
            <w:vAlign w:val="center"/>
          </w:tcPr>
          <w:p w14:paraId="0000020D">
            <w:pPr>
              <w:jc w:val="center"/>
              <w:rPr/>
            </w:pPr>
            <w:r>
              <w:t>Документы,проверяемые в ходе проверки</w:t>
            </w:r>
          </w:p>
        </w:tc>
      </w:tr>
      <w:tr>
        <w:trPr/>
        <w:tc>
          <w:tcPr>
            <w:cnfStyle w:val="001000100000"/>
            <w:tcW w:w="668" w:type="dxa"/>
            <w:vAlign w:val="center"/>
          </w:tcPr>
          <w:p w14:paraId="0000020E">
            <w:pPr>
              <w:jc w:val="center"/>
              <w:rPr/>
            </w:pPr>
            <w:r>
              <w:t>1</w:t>
            </w:r>
          </w:p>
        </w:tc>
        <w:tc>
          <w:tcPr>
            <w:cnfStyle w:val="000000100000"/>
            <w:tcW w:w="3409" w:type="dxa"/>
            <w:vAlign w:val="center"/>
          </w:tcPr>
          <w:p w14:paraId="0000020F">
            <w:r>
              <w:t>Тепло</w:t>
            </w:r>
            <w:r>
              <w:t>снабжающ</w:t>
            </w:r>
            <w:r>
              <w:t>ая</w:t>
            </w:r>
            <w:r>
              <w:t xml:space="preserve"> орган</w:t>
            </w:r>
            <w:r>
              <w:t>изаци</w:t>
            </w:r>
            <w:r>
              <w:t>я</w:t>
            </w:r>
          </w:p>
        </w:tc>
        <w:tc>
          <w:tcPr>
            <w:cnfStyle w:val="000000100000"/>
            <w:tcW w:w="1417" w:type="dxa"/>
            <w:vAlign w:val="center"/>
          </w:tcPr>
          <w:p w14:paraId="00000210">
            <w:pPr>
              <w:jc w:val="center"/>
              <w:rPr/>
            </w:pPr>
            <w:r>
              <w:t>5</w:t>
            </w:r>
          </w:p>
        </w:tc>
        <w:tc>
          <w:tcPr>
            <w:cnfStyle w:val="000000100000"/>
            <w:tcW w:w="1715" w:type="dxa"/>
            <w:vAlign w:val="center"/>
          </w:tcPr>
          <w:p w14:paraId="00000211">
            <w:pPr>
              <w:ind w:firstLine="34"/>
              <w:jc w:val="center"/>
              <w:rPr/>
            </w:pPr>
            <w:r>
              <w:t xml:space="preserve">до </w:t>
            </w:r>
            <w:r>
              <w:t>01</w:t>
            </w:r>
            <w:r>
              <w:t>.10.2024</w:t>
            </w:r>
            <w:r>
              <w:t xml:space="preserve"> года</w:t>
            </w:r>
          </w:p>
        </w:tc>
        <w:tc>
          <w:tcPr>
            <w:cnfStyle w:val="000000100000"/>
            <w:tcW w:w="2680" w:type="dxa"/>
          </w:tcPr>
          <w:p w14:paraId="00000212">
            <w:pPr>
              <w:jc w:val="both"/>
              <w:rPr/>
            </w:pPr>
            <w:r>
              <w:t>В соответствии с</w:t>
            </w:r>
          </w:p>
          <w:p w14:paraId="00000213">
            <w:pPr>
              <w:jc w:val="both"/>
              <w:rPr>
                <w:color w:val="ff0000"/>
              </w:rPr>
            </w:pPr>
            <w:r>
              <w:t>Приложением №3</w:t>
            </w:r>
          </w:p>
        </w:tc>
      </w:tr>
      <w:tr>
        <w:trPr/>
        <w:tc>
          <w:tcPr>
            <w:cnfStyle w:val="001000010000"/>
            <w:tcW w:w="668" w:type="dxa"/>
            <w:vAlign w:val="center"/>
          </w:tcPr>
          <w:p w14:paraId="00000214">
            <w:pPr>
              <w:jc w:val="center"/>
              <w:rPr/>
            </w:pPr>
            <w:r>
              <w:t>2</w:t>
            </w:r>
          </w:p>
        </w:tc>
        <w:tc>
          <w:tcPr>
            <w:cnfStyle w:val="000000010000"/>
            <w:tcW w:w="3409" w:type="dxa"/>
            <w:vAlign w:val="center"/>
          </w:tcPr>
          <w:p w14:paraId="00000215">
            <w:r>
              <w:t>Жил</w:t>
            </w:r>
            <w:r>
              <w:t>ищный</w:t>
            </w:r>
            <w:r>
              <w:t xml:space="preserve"> фонд</w:t>
            </w:r>
          </w:p>
        </w:tc>
        <w:tc>
          <w:tcPr>
            <w:cnfStyle w:val="000000010000"/>
            <w:tcW w:w="1417" w:type="dxa"/>
            <w:vAlign w:val="center"/>
          </w:tcPr>
          <w:p w14:paraId="00000216">
            <w:pPr>
              <w:jc w:val="center"/>
              <w:rPr/>
            </w:pPr>
            <w:r>
              <w:t>6</w:t>
            </w:r>
          </w:p>
        </w:tc>
        <w:tc>
          <w:tcPr>
            <w:cnfStyle w:val="000000010000"/>
            <w:tcW w:w="1715" w:type="dxa"/>
            <w:vAlign w:val="center"/>
          </w:tcPr>
          <w:p w14:paraId="00000217">
            <w:pPr>
              <w:ind w:firstLine="34"/>
              <w:jc w:val="center"/>
              <w:rPr/>
            </w:pPr>
            <w:r>
              <w:t xml:space="preserve">до </w:t>
            </w:r>
            <w:r>
              <w:t>10</w:t>
            </w:r>
            <w:r>
              <w:t>.09.</w:t>
            </w:r>
            <w:r>
              <w:t>2024</w:t>
            </w:r>
            <w:r>
              <w:t xml:space="preserve"> года</w:t>
            </w:r>
          </w:p>
        </w:tc>
        <w:tc>
          <w:tcPr>
            <w:cnfStyle w:val="000000010000"/>
            <w:tcW w:w="2680" w:type="dxa"/>
          </w:tcPr>
          <w:p w14:paraId="00000218">
            <w:pPr>
              <w:jc w:val="both"/>
              <w:rPr/>
            </w:pPr>
            <w:r>
              <w:t>В соответствии с</w:t>
            </w:r>
          </w:p>
          <w:p w14:paraId="00000219">
            <w:pPr>
              <w:jc w:val="both"/>
              <w:rPr/>
            </w:pPr>
            <w:r>
              <w:t xml:space="preserve">Приложением </w:t>
            </w:r>
            <w:r>
              <w:t>№</w:t>
            </w:r>
            <w:r>
              <w:t>4</w:t>
            </w:r>
          </w:p>
        </w:tc>
      </w:tr>
      <w:tr>
        <w:trPr/>
        <w:tc>
          <w:tcPr>
            <w:cnfStyle w:val="001000100000"/>
            <w:tcW w:w="668" w:type="dxa"/>
            <w:vAlign w:val="center"/>
          </w:tcPr>
          <w:p w14:paraId="0000021A">
            <w:pPr>
              <w:jc w:val="center"/>
              <w:rPr/>
            </w:pPr>
            <w:r>
              <w:t>3</w:t>
            </w:r>
          </w:p>
        </w:tc>
        <w:tc>
          <w:tcPr>
            <w:cnfStyle w:val="000000100000"/>
            <w:tcW w:w="3409" w:type="dxa"/>
            <w:vAlign w:val="center"/>
          </w:tcPr>
          <w:p w14:paraId="0000021B">
            <w:r>
              <w:t>Прочие организации</w:t>
            </w:r>
          </w:p>
        </w:tc>
        <w:tc>
          <w:tcPr>
            <w:cnfStyle w:val="000000100000"/>
            <w:tcW w:w="1417" w:type="dxa"/>
            <w:vAlign w:val="center"/>
          </w:tcPr>
          <w:p w14:paraId="0000021C">
            <w:pPr>
              <w:jc w:val="center"/>
              <w:rPr/>
            </w:pPr>
            <w:r>
              <w:t>2</w:t>
            </w:r>
          </w:p>
        </w:tc>
        <w:tc>
          <w:tcPr>
            <w:cnfStyle w:val="000000100000"/>
            <w:tcW w:w="1715" w:type="dxa"/>
            <w:vAlign w:val="center"/>
          </w:tcPr>
          <w:p w14:paraId="0000021D">
            <w:pPr>
              <w:ind w:firstLine="34"/>
              <w:jc w:val="center"/>
              <w:rPr/>
            </w:pPr>
            <w:r>
              <w:t xml:space="preserve">до </w:t>
            </w:r>
            <w:r>
              <w:t>10</w:t>
            </w:r>
            <w:r>
              <w:t>.09.2024</w:t>
            </w:r>
            <w:r>
              <w:t xml:space="preserve"> года</w:t>
            </w:r>
          </w:p>
        </w:tc>
        <w:tc>
          <w:tcPr>
            <w:cnfStyle w:val="000000100000"/>
            <w:tcW w:w="2680" w:type="dxa"/>
          </w:tcPr>
          <w:p w14:paraId="0000021E">
            <w:pPr>
              <w:jc w:val="both"/>
              <w:rPr/>
            </w:pPr>
            <w:r>
              <w:t>В соответствии с</w:t>
            </w:r>
          </w:p>
          <w:p w14:paraId="0000021F">
            <w:pPr>
              <w:jc w:val="both"/>
              <w:rPr/>
            </w:pPr>
            <w:r>
              <w:t>Приложением №4</w:t>
            </w:r>
          </w:p>
        </w:tc>
      </w:tr>
    </w:tbl>
    <w:p w14:paraId="00000220">
      <w:pPr>
        <w:ind w:firstLine="709"/>
        <w:jc w:val="both"/>
        <w:rPr/>
      </w:pPr>
    </w:p>
    <w:p w14:paraId="00000221">
      <w:pPr>
        <w:ind w:firstLine="567"/>
        <w:jc w:val="both"/>
        <w:rPr/>
      </w:pPr>
      <w:r>
        <w:t>При проверке</w:t>
      </w:r>
      <w:r>
        <w:t xml:space="preserve"> </w:t>
      </w:r>
      <w:r>
        <w:t>Комиссией</w:t>
      </w:r>
      <w:r>
        <w:t xml:space="preserve"> проверяется выполнение требований, установленных </w:t>
      </w:r>
      <w:r>
        <w:t xml:space="preserve">Приложениями </w:t>
      </w:r>
      <w:r>
        <w:t xml:space="preserve">№ 3, </w:t>
      </w:r>
      <w:r>
        <w:t>4 настоящей Программы проведения</w:t>
      </w:r>
      <w:r>
        <w:t xml:space="preserve"> проверки готовности </w:t>
      </w:r>
      <w:r>
        <w:t xml:space="preserve">Портбайкальского </w:t>
      </w:r>
      <w:r>
        <w:t xml:space="preserve">муниципального образования </w:t>
      </w:r>
      <w:r>
        <w:t xml:space="preserve">к отопительному периоду </w:t>
      </w:r>
      <w:r>
        <w:t>2024-2025 годов</w:t>
      </w:r>
      <w:r>
        <w:t xml:space="preserve"> (далее - Программа).</w:t>
      </w:r>
    </w:p>
    <w:p w14:paraId="00000222">
      <w:pPr>
        <w:ind w:firstLine="567"/>
        <w:jc w:val="both"/>
        <w:rPr/>
      </w:pPr>
      <w:r>
        <w:t>Проверка выполнения теплосетев</w:t>
      </w:r>
      <w:r>
        <w:t>ой</w:t>
      </w:r>
      <w:r>
        <w:t xml:space="preserve"> и теплоснабжающ</w:t>
      </w:r>
      <w:r>
        <w:t>ей</w:t>
      </w:r>
      <w:r>
        <w:t xml:space="preserve"> организаци</w:t>
      </w:r>
      <w:r>
        <w:t>и</w:t>
      </w:r>
      <w:r>
        <w:t xml:space="preserve"> требований, установленных Правилами оценки готовности к отопительному периоду, утв</w:t>
      </w:r>
      <w:r>
        <w:t>ерждёнными</w:t>
      </w:r>
      <w:r>
        <w:t xml:space="preserve"> приказом </w:t>
      </w:r>
      <w:r>
        <w:t>Министерства энергетики РФ от 12 марта 2013 г. № 103</w:t>
      </w:r>
      <w:r>
        <w:t xml:space="preserve"> (далее</w:t>
      </w:r>
      <w:r>
        <w:t xml:space="preserve"> -</w:t>
      </w:r>
      <w:r>
        <w:t xml:space="preserve"> Правила), осуществляется </w:t>
      </w:r>
      <w:r>
        <w:t>Комиссией</w:t>
      </w:r>
      <w:r>
        <w:t xml:space="preserve"> на предмет соблюдения соответствующих обязательных требований, установленных техническими регламентами и иными</w:t>
      </w:r>
      <w:r>
        <w:t>нормативными правовыми актами в сфере теплоснабжения.</w:t>
      </w:r>
    </w:p>
    <w:p w14:paraId="00000223">
      <w:pPr>
        <w:ind w:firstLine="567"/>
        <w:jc w:val="both"/>
        <w:rPr/>
      </w:pPr>
      <w:r>
        <w:t xml:space="preserve">В случае </w:t>
      </w:r>
      <w:r>
        <w:t>отсу</w:t>
      </w:r>
      <w:r>
        <w:t xml:space="preserve">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>
        <w:t>Комиссия</w:t>
      </w:r>
      <w:r>
        <w:t xml:space="preserve"> осуществляют проверку соблюдения локальных актов организаций,</w:t>
      </w:r>
      <w:r>
        <w:t xml:space="preserve"> </w:t>
      </w:r>
      <w:r>
        <w:t>подлежащих проверке,</w:t>
      </w:r>
      <w:r>
        <w:t xml:space="preserve"> регулирующих порядок подготовки к отопительному периоду</w:t>
      </w:r>
      <w:r>
        <w:t xml:space="preserve"> </w:t>
      </w:r>
      <w:r>
        <w:t>2024-2025 годов</w:t>
      </w:r>
      <w:r>
        <w:t>.</w:t>
      </w:r>
    </w:p>
    <w:p w14:paraId="00000224">
      <w:pPr>
        <w:ind w:firstLine="567"/>
        <w:jc w:val="both"/>
        <w:rPr/>
      </w:pPr>
      <w:r>
        <w:t>2.2. В целях проведения проверки комиссии рассматривают документы, подтверждающие выполнение требований по готовности, а при необходимости</w:t>
      </w:r>
      <w:r>
        <w:t xml:space="preserve"> -проводят </w:t>
      </w:r>
      <w:r>
        <w:t>осмотр объектов проверки</w:t>
      </w:r>
      <w:r>
        <w:t>.</w:t>
      </w:r>
    </w:p>
    <w:p w14:paraId="00000225">
      <w:pPr>
        <w:ind w:firstLine="567"/>
        <w:jc w:val="both"/>
        <w:rPr/>
      </w:pPr>
      <w:r>
        <w:t>Результаты проверки оформляются актом</w:t>
      </w:r>
      <w:r>
        <w:t xml:space="preserve"> проверки готовности к отопительному периоду </w:t>
      </w:r>
      <w:r>
        <w:t>2024-2025 годов</w:t>
      </w:r>
      <w:r>
        <w:t xml:space="preserve"> </w:t>
      </w:r>
      <w:r>
        <w:t xml:space="preserve">(далее </w:t>
      </w:r>
      <w:r>
        <w:t>-</w:t>
      </w:r>
      <w:r>
        <w:t>А</w:t>
      </w:r>
      <w:r>
        <w:t>кт), который составляетс</w:t>
      </w:r>
      <w:r>
        <w:t xml:space="preserve">я не позднее одного дня с даты завершения проверки, по рекомендуемому образцу </w:t>
      </w:r>
      <w:r>
        <w:t>согл</w:t>
      </w:r>
      <w:r>
        <w:t xml:space="preserve">асно </w:t>
      </w:r>
      <w:r>
        <w:t>Приложению №</w:t>
      </w:r>
      <w:r>
        <w:t>1</w:t>
      </w:r>
      <w:r>
        <w:t xml:space="preserve"> к настоящим Правилам.</w:t>
      </w:r>
    </w:p>
    <w:p w14:paraId="00000226">
      <w:pPr>
        <w:ind w:firstLine="567"/>
        <w:jc w:val="both"/>
        <w:rPr/>
      </w:pPr>
      <w:r>
        <w:t xml:space="preserve">В </w:t>
      </w:r>
      <w:r>
        <w:t xml:space="preserve">Акте </w:t>
      </w:r>
      <w:r>
        <w:t xml:space="preserve">содержатся следующие выводы </w:t>
      </w:r>
      <w:r>
        <w:t xml:space="preserve">Комиссии </w:t>
      </w:r>
      <w:r>
        <w:t>по итогам проверки:</w:t>
      </w:r>
    </w:p>
    <w:p w14:paraId="00000227">
      <w:pPr>
        <w:ind w:firstLine="567"/>
        <w:jc w:val="both"/>
        <w:rPr/>
      </w:pPr>
      <w:r>
        <w:t xml:space="preserve">- </w:t>
      </w:r>
      <w:r>
        <w:t>объект проверки готов к отопительному периоду;</w:t>
      </w:r>
    </w:p>
    <w:p w14:paraId="00000228">
      <w:pPr>
        <w:ind w:firstLine="567"/>
        <w:jc w:val="both"/>
        <w:rPr/>
      </w:pPr>
      <w:r>
        <w:t xml:space="preserve">- </w:t>
      </w:r>
      <w:r>
        <w:t xml:space="preserve">объект проверки будет готов к отопительному периоду при </w:t>
      </w:r>
      <w:r>
        <w:t xml:space="preserve">условии устранения в установленный срок замечаний к требованиям по готовности, выданных </w:t>
      </w:r>
      <w:r>
        <w:t>Комиссией</w:t>
      </w:r>
      <w:r>
        <w:t>;</w:t>
      </w:r>
    </w:p>
    <w:p w14:paraId="00000229">
      <w:pPr>
        <w:ind w:firstLine="567"/>
        <w:jc w:val="both"/>
        <w:rPr/>
      </w:pPr>
      <w:r>
        <w:t xml:space="preserve">- </w:t>
      </w:r>
      <w:r>
        <w:t>объект проверки не готов к отопительному периоду.</w:t>
      </w:r>
    </w:p>
    <w:p w14:paraId="0000022A">
      <w:pPr>
        <w:ind w:firstLine="567"/>
        <w:jc w:val="both"/>
        <w:rPr/>
      </w:pPr>
      <w:r>
        <w:t xml:space="preserve">При наличии у </w:t>
      </w:r>
      <w:r>
        <w:t xml:space="preserve">Комиссии </w:t>
      </w:r>
      <w:r>
        <w:t>замечаний к выполнен</w:t>
      </w:r>
      <w:r>
        <w:t>ию требований по готовности или при невыполнении требований по готовности к</w:t>
      </w:r>
      <w:r>
        <w:t xml:space="preserve"> </w:t>
      </w:r>
      <w:r>
        <w:t>Акту</w:t>
      </w:r>
      <w:r>
        <w:t xml:space="preserve"> </w:t>
      </w:r>
      <w:r>
        <w:t>прилага</w:t>
      </w:r>
      <w:r>
        <w:t>ется</w:t>
      </w:r>
      <w:r>
        <w:t xml:space="preserve"> перечень замечаний (далее - Перечень) с указанием сроков их устранения.</w:t>
      </w:r>
    </w:p>
    <w:p w14:paraId="0000022B">
      <w:pPr>
        <w:ind w:firstLine="567"/>
        <w:jc w:val="both"/>
        <w:rPr/>
      </w:pPr>
      <w:r>
        <w:t>Паспорт готовности к отопительному периоду (далее -</w:t>
      </w:r>
      <w:r>
        <w:t xml:space="preserve"> </w:t>
      </w:r>
      <w:r>
        <w:t>Паспорт</w:t>
      </w:r>
      <w:r>
        <w:t>)</w:t>
      </w:r>
      <w:r>
        <w:t xml:space="preserve"> составляется</w:t>
      </w:r>
      <w:r>
        <w:t xml:space="preserve"> </w:t>
      </w:r>
      <w:r>
        <w:t>по рекомендуемому образцу согласн</w:t>
      </w:r>
      <w:r>
        <w:t xml:space="preserve">о </w:t>
      </w:r>
      <w:r>
        <w:t>Приложению №</w:t>
      </w:r>
      <w:r>
        <w:t>2 к настоящей Программе</w:t>
      </w:r>
      <w:r>
        <w:t xml:space="preserve"> и выдается по каждому объек</w:t>
      </w:r>
      <w:r>
        <w:t xml:space="preserve">ту проверки в течение 15 дней с даты подписания </w:t>
      </w:r>
      <w:r>
        <w:t>Акта</w:t>
      </w:r>
      <w:r>
        <w:t xml:space="preserve"> </w:t>
      </w:r>
      <w:r>
        <w:t>в случае если объект проверки готов к отопительному периоду, а также в случае если замечания к требованиям по готовности, выданные</w:t>
      </w:r>
      <w:r>
        <w:t xml:space="preserve"> комиссией, устранены в срок, установленный Перечнем.</w:t>
      </w:r>
    </w:p>
    <w:p w14:paraId="0000022C">
      <w:pPr>
        <w:ind w:firstLine="567"/>
        <w:jc w:val="both"/>
        <w:rPr/>
      </w:pPr>
      <w:r>
        <w:t xml:space="preserve">Сроки выдачи паспортов </w:t>
      </w:r>
      <w:r>
        <w:t xml:space="preserve">не позднее </w:t>
      </w:r>
      <w:r>
        <w:t>11</w:t>
      </w:r>
      <w:r>
        <w:t xml:space="preserve"> сентября </w:t>
      </w:r>
      <w:r>
        <w:t>2024</w:t>
      </w:r>
      <w:r>
        <w:t xml:space="preserve"> года</w:t>
      </w:r>
      <w:r>
        <w:t xml:space="preserve"> - дл</w:t>
      </w:r>
      <w:r>
        <w:t>я потребителей тепловой энергии;</w:t>
      </w:r>
      <w:r>
        <w:t xml:space="preserve"> не позднее 1 ноября</w:t>
      </w:r>
      <w:r>
        <w:t xml:space="preserve"> 2024</w:t>
      </w:r>
      <w:r>
        <w:t xml:space="preserve"> года</w:t>
      </w:r>
      <w:r>
        <w:t xml:space="preserve"> - для теплоснабжающ</w:t>
      </w:r>
      <w:r>
        <w:t>их и теплосетевых организаций.</w:t>
      </w:r>
    </w:p>
    <w:p w14:paraId="0000022D">
      <w:pPr>
        <w:ind w:firstLine="567"/>
        <w:jc w:val="both"/>
        <w:rPr/>
      </w:pPr>
      <w:r>
        <w:t>В случае устранения</w:t>
      </w:r>
      <w:r>
        <w:t xml:space="preserve"> указанных в Перечне замечаний к</w:t>
      </w:r>
      <w:r>
        <w:t xml:space="preserve"> выпол</w:t>
      </w:r>
      <w:r>
        <w:t>нению (невыполнению) требований по готовности в сроки, установленные в</w:t>
      </w:r>
      <w:r>
        <w:t xml:space="preserve"> </w:t>
      </w:r>
      <w:r>
        <w:t>Таблице №</w:t>
      </w:r>
      <w:r>
        <w:t>1 настоящей Программы,</w:t>
      </w:r>
      <w:r>
        <w:t xml:space="preserve"> </w:t>
      </w:r>
      <w:r>
        <w:t>Комиссией проводится повторная проверка, по</w:t>
      </w:r>
      <w:r>
        <w:t xml:space="preserve"> результатам которой составляется новый </w:t>
      </w:r>
      <w:r>
        <w:t>Акт</w:t>
      </w:r>
      <w:r>
        <w:t>.</w:t>
      </w:r>
    </w:p>
    <w:p w14:paraId="0000022E">
      <w:pPr>
        <w:ind w:firstLine="567"/>
        <w:jc w:val="both"/>
        <w:rPr/>
      </w:pPr>
      <w:r>
        <w:t>Организация, не получившая по объектам</w:t>
      </w:r>
      <w:r>
        <w:t xml:space="preserve"> провер</w:t>
      </w:r>
      <w:r>
        <w:t xml:space="preserve">ки паспорт готовности до даты, </w:t>
      </w:r>
      <w:r>
        <w:t>установленной</w:t>
      </w:r>
      <w:r>
        <w:t xml:space="preserve"> в</w:t>
      </w:r>
      <w:r>
        <w:t>Таблице</w:t>
      </w:r>
      <w:r>
        <w:t xml:space="preserve"> №1 </w:t>
      </w:r>
      <w:r>
        <w:t>настоящей Программы, обязана продолжить подготовку к отопительному периоду и</w:t>
      </w:r>
      <w:r>
        <w:t xml:space="preserve"> устранение</w:t>
      </w:r>
      <w:r>
        <w:t xml:space="preserve"> указанных в Перечне к</w:t>
      </w:r>
      <w:r>
        <w:t xml:space="preserve"> </w:t>
      </w:r>
      <w:r>
        <w:t xml:space="preserve">Акту </w:t>
      </w:r>
      <w:r>
        <w:t>замечаний к выполнению (невыполнению) требований по</w:t>
      </w:r>
      <w:r>
        <w:t xml:space="preserve"> готов</w:t>
      </w:r>
      <w:r>
        <w:t>ности. После уведомления</w:t>
      </w:r>
      <w:r>
        <w:t xml:space="preserve"> </w:t>
      </w:r>
      <w:r>
        <w:t>Комиссии</w:t>
      </w:r>
      <w:r>
        <w:t xml:space="preserve"> </w:t>
      </w:r>
      <w:r>
        <w:t>об устранении замечаний к выполнению</w:t>
      </w:r>
      <w:r>
        <w:t xml:space="preserve"> (невыполнению) требований по готовности осуществляется повторная проверка</w:t>
      </w:r>
      <w:r>
        <w:t>. При положительном заключении комиссии оформляется повторный</w:t>
      </w:r>
      <w:r>
        <w:t xml:space="preserve"> </w:t>
      </w:r>
      <w:r>
        <w:t>Акт</w:t>
      </w:r>
      <w:r>
        <w:t xml:space="preserve"> </w:t>
      </w:r>
      <w:r>
        <w:t>с выводом о готовности</w:t>
      </w:r>
      <w:r>
        <w:t xml:space="preserve"> к отопительному периоду, но без выдачи </w:t>
      </w:r>
      <w:r>
        <w:t xml:space="preserve">Паспорта </w:t>
      </w:r>
      <w:r>
        <w:t>в текущий отопительный период.</w:t>
      </w:r>
    </w:p>
    <w:p w14:paraId="0000022F">
      <w:pPr>
        <w:ind w:firstLine="567"/>
        <w:jc w:val="both"/>
        <w:rPr>
          <w:b/>
        </w:rPr>
      </w:pPr>
      <w:r>
        <w:rPr>
          <w:b/>
        </w:rPr>
        <w:t>3. Порядок взаимодействия теплоснабжающ</w:t>
      </w:r>
      <w:r>
        <w:rPr>
          <w:b/>
        </w:rPr>
        <w:t>ей</w:t>
      </w:r>
      <w:r>
        <w:rPr>
          <w:b/>
        </w:rPr>
        <w:t xml:space="preserve"> и теплосетев</w:t>
      </w:r>
      <w:r>
        <w:rPr>
          <w:b/>
        </w:rPr>
        <w:t>ой</w:t>
      </w:r>
      <w:r>
        <w:rPr>
          <w:b/>
        </w:rPr>
        <w:t xml:space="preserve"> организаци</w:t>
      </w:r>
      <w:r>
        <w:rPr>
          <w:b/>
        </w:rPr>
        <w:t>и</w:t>
      </w:r>
      <w:r>
        <w:rPr>
          <w:b/>
        </w:rPr>
        <w:t xml:space="preserve">, потребителей тепловой энергии, </w:t>
      </w:r>
      <w:r>
        <w:rPr>
          <w:b/>
        </w:rPr>
        <w:t>теплопотребляющие</w:t>
      </w:r>
      <w:r>
        <w:rPr>
          <w:b/>
        </w:rPr>
        <w:t xml:space="preserve"> установки которых подключены к сис</w:t>
      </w:r>
      <w:r>
        <w:rPr>
          <w:b/>
        </w:rPr>
        <w:t>теме теплоснабжения с Комиссией.</w:t>
      </w:r>
    </w:p>
    <w:p w14:paraId="00000230">
      <w:pPr>
        <w:ind w:firstLine="567"/>
        <w:jc w:val="both"/>
        <w:rPr/>
      </w:pPr>
      <w:r>
        <w:t>3.1.</w:t>
      </w:r>
      <w:r>
        <w:t xml:space="preserve"> Потребители тепловой энергии готовят объекты к эксплуатации </w:t>
      </w:r>
      <w:r>
        <w:t xml:space="preserve">в </w:t>
      </w:r>
      <w:r>
        <w:t xml:space="preserve">отопительный период в срок </w:t>
      </w:r>
      <w:r>
        <w:t xml:space="preserve">до </w:t>
      </w:r>
      <w:r>
        <w:t>10</w:t>
      </w:r>
      <w:r>
        <w:t xml:space="preserve"> сентября 2024</w:t>
      </w:r>
      <w:r>
        <w:t xml:space="preserve"> года</w:t>
      </w:r>
      <w:r>
        <w:t>.</w:t>
      </w:r>
    </w:p>
    <w:p w14:paraId="00000231">
      <w:pPr>
        <w:ind w:firstLine="567"/>
        <w:jc w:val="both"/>
        <w:rPr/>
      </w:pPr>
      <w:r>
        <w:t>Потребит</w:t>
      </w:r>
      <w:r>
        <w:t xml:space="preserve">ели заблаговременно (не менее, </w:t>
      </w:r>
      <w:r>
        <w:t>чем за 3 ра</w:t>
      </w:r>
      <w:r>
        <w:t xml:space="preserve">бочих дня) согласовывают сроки </w:t>
      </w:r>
      <w:r>
        <w:t>проведения промывки систем теплопотребления и гидрав</w:t>
      </w:r>
      <w:r>
        <w:t>лических испытаний оборудования теплового пункта с теплоснабжающей организацией. При</w:t>
      </w:r>
      <w:r>
        <w:t xml:space="preserve"> большом количестве заявок теплоснабжающая организация вправе перенести срок выполнения указанных мероприятий.</w:t>
      </w:r>
    </w:p>
    <w:p w14:paraId="00000232">
      <w:pPr>
        <w:ind w:firstLine="567"/>
        <w:jc w:val="both"/>
        <w:rPr/>
      </w:pPr>
      <w:r>
        <w:t>3.2.</w:t>
      </w:r>
      <w:r>
        <w:t>Теплоснабжающая организация</w:t>
      </w:r>
      <w:r>
        <w:t xml:space="preserve"> осу</w:t>
      </w:r>
      <w:r>
        <w:t>ществляет контроль за</w:t>
      </w:r>
      <w:r>
        <w:t xml:space="preserve"> п</w:t>
      </w:r>
      <w:r>
        <w:t>роведением гидропневматической промывки систем теплопотребления, присутствует при испытаниях оборудования тепловых пунктов на плотность и прочность, проверяет работоспособность автоматических регуляторов систем</w:t>
      </w:r>
      <w:r>
        <w:t xml:space="preserve"> гор</w:t>
      </w:r>
      <w:r>
        <w:t>ячего водоснабжения</w:t>
      </w:r>
      <w:r>
        <w:t xml:space="preserve"> и отопления при их наличии, состояние трубопроводов, арматуры и тепловой изоляции в пределах тепловых пунктов, готовность узла учета к эксп</w:t>
      </w:r>
      <w:r>
        <w:t>луатации в отопительный период, наличие аттестованного обслуживающего персонала и состояние</w:t>
      </w:r>
      <w:r>
        <w:t xml:space="preserve"> наружных </w:t>
      </w:r>
      <w:r>
        <w:t xml:space="preserve">тепловых сетей потребителя. ТСО осуществляется промывка водопроводной водой систем </w:t>
      </w:r>
      <w:r>
        <w:t>теплопотреб</w:t>
      </w:r>
      <w:r>
        <w:t xml:space="preserve">ления </w:t>
      </w:r>
      <w:r>
        <w:t xml:space="preserve">всех потребителей тепловой энергии. </w:t>
      </w:r>
    </w:p>
    <w:p w14:paraId="00000233">
      <w:pPr>
        <w:ind w:firstLine="567"/>
        <w:jc w:val="both"/>
        <w:rPr/>
      </w:pPr>
      <w:r>
        <w:t>Управляющие компании осуществля</w:t>
      </w:r>
      <w:r>
        <w:t xml:space="preserve">ют промывку водопроводной водой самостоятельно с предоставлением в ТСО акта, подписанного </w:t>
      </w:r>
      <w:r>
        <w:t>уполномоченным представит</w:t>
      </w:r>
      <w:r>
        <w:t>елем и председателем совета МКД</w:t>
      </w:r>
      <w:r>
        <w:t xml:space="preserve"> (либо 3-мя жильцами МКД).</w:t>
      </w:r>
    </w:p>
    <w:p w14:paraId="00000234">
      <w:pPr>
        <w:ind w:firstLine="567"/>
        <w:jc w:val="both"/>
        <w:rPr/>
      </w:pPr>
      <w:r>
        <w:t>Для подтверждения работоспособности автоматических регуляторов систем отопления, исправного состояния наружных тепловых сетей</w:t>
      </w:r>
      <w:r>
        <w:t xml:space="preserve"> потребитель предоставляет в ТСО акты, подписанные уполномоченными представителями.</w:t>
      </w:r>
    </w:p>
    <w:p w14:paraId="00000235">
      <w:pPr>
        <w:ind w:firstLine="567"/>
        <w:jc w:val="both"/>
        <w:rPr/>
      </w:pPr>
      <w:r>
        <w:t>Наличие аттестованного</w:t>
      </w:r>
      <w:r>
        <w:t xml:space="preserve"> обслуживаю</w:t>
      </w:r>
      <w:r>
        <w:t xml:space="preserve">щего персонала подтверждается копией приказа о назначении ответственных за исправное состояние и  безопасную эксплуатацию тепловых энергоустановок (копией договора на техническое обслуживание систем теплопотребления) и протоколом </w:t>
      </w:r>
      <w:r>
        <w:t>прове</w:t>
      </w:r>
      <w:r>
        <w:t>рки знаний в</w:t>
      </w:r>
      <w:r>
        <w:t xml:space="preserve"> органах Ростехнадзора.</w:t>
      </w:r>
    </w:p>
    <w:p w14:paraId="00000236">
      <w:pPr>
        <w:ind w:firstLine="567"/>
        <w:jc w:val="both"/>
        <w:rPr/>
      </w:pPr>
      <w:r>
        <w:t xml:space="preserve">3.3. После проведения указанных в </w:t>
      </w:r>
      <w:r>
        <w:t xml:space="preserve">п.3.2. настоящей Программы мероприятий </w:t>
      </w:r>
      <w:r>
        <w:t>т</w:t>
      </w:r>
      <w:r>
        <w:t>еплоснабжающая организация подписывает Акт проверки готовности</w:t>
      </w:r>
      <w:r>
        <w:t xml:space="preserve"> к отопительному периоду </w:t>
      </w:r>
      <w:r>
        <w:t>2024-2025</w:t>
      </w:r>
      <w:r>
        <w:t xml:space="preserve"> </w:t>
      </w:r>
      <w:r>
        <w:t>г</w:t>
      </w:r>
      <w:r>
        <w:t>одов</w:t>
      </w:r>
      <w:r>
        <w:t xml:space="preserve"> в части ее касающейся (при наличии замечаний Акт подписывается с замечаниями) и выдает его на руки потребителю.</w:t>
      </w:r>
    </w:p>
    <w:p w14:paraId="00000237">
      <w:pPr>
        <w:ind w:firstLine="567"/>
        <w:jc w:val="both"/>
        <w:rPr/>
      </w:pPr>
      <w:r>
        <w:t xml:space="preserve">3.4. </w:t>
      </w:r>
      <w:r>
        <w:t>Теплоснабжающая    организация представляе</w:t>
      </w:r>
      <w:r>
        <w:t xml:space="preserve">т в администрацию </w:t>
      </w:r>
      <w:r>
        <w:t xml:space="preserve">Портбайкальского МО </w:t>
      </w:r>
      <w:r>
        <w:t>информацию по выполнению требований по</w:t>
      </w:r>
      <w:r>
        <w:t xml:space="preserve"> готовности, указанных в </w:t>
      </w:r>
      <w:r>
        <w:t>П</w:t>
      </w:r>
      <w:r>
        <w:t xml:space="preserve">риложении </w:t>
      </w:r>
      <w:r>
        <w:t>№</w:t>
      </w:r>
      <w:r>
        <w:t>3.</w:t>
      </w:r>
    </w:p>
    <w:p w14:paraId="00000238">
      <w:pPr>
        <w:ind w:firstLine="567"/>
        <w:jc w:val="both"/>
        <w:rPr/>
      </w:pPr>
      <w:r>
        <w:t>3.</w:t>
      </w:r>
      <w:r>
        <w:t xml:space="preserve">5. Потребители тепловой энергии самостоятельно направляют в администрацию </w:t>
      </w:r>
      <w:r>
        <w:t xml:space="preserve">Портбайкальского МО </w:t>
      </w:r>
      <w:r>
        <w:t>на рассмотрение комиссии информацию по выполнению требований,</w:t>
      </w:r>
      <w:r>
        <w:t xml:space="preserve"> указанных в п. 1, 3, 4, 6, 9, 10, 15, 17 </w:t>
      </w:r>
      <w:r>
        <w:t>Приложения №</w:t>
      </w:r>
      <w:r>
        <w:t>4, и Акт проверки готовности к ото</w:t>
      </w:r>
      <w:r>
        <w:t xml:space="preserve">пительному периоду </w:t>
      </w:r>
      <w:r>
        <w:t>2024-2025 годов</w:t>
      </w:r>
      <w:r>
        <w:t>.</w:t>
      </w:r>
    </w:p>
    <w:p w14:paraId="00000239">
      <w:pPr>
        <w:ind w:firstLine="567"/>
        <w:jc w:val="both"/>
        <w:rPr/>
      </w:pPr>
      <w:r>
        <w:t>3.6. Комиссия рассматривает документы, подтверждающие выполнение требований готовности в соответствии с п.2.2 Программы и делает вывод</w:t>
      </w:r>
      <w:r>
        <w:t xml:space="preserve"> о готовности (не готовности) объектов проверки к отопительному периоду.</w:t>
      </w:r>
    </w:p>
    <w:p w14:paraId="0000023A">
      <w:pPr>
        <w:ind w:firstLine="567"/>
        <w:jc w:val="both"/>
        <w:rPr/>
      </w:pPr>
      <w:r>
        <w:t>После подписания членами комиссии один экземпляр Акта проверки готовности к отопительному периоду</w:t>
      </w:r>
      <w:r>
        <w:t xml:space="preserve"> </w:t>
      </w:r>
      <w:r>
        <w:t>2024-2025</w:t>
      </w:r>
      <w:r>
        <w:t xml:space="preserve"> </w:t>
      </w:r>
      <w:r>
        <w:t xml:space="preserve">годов </w:t>
      </w:r>
      <w:r>
        <w:t xml:space="preserve">получает уполномоченный представитель теплоснабжающей организации, потребителя тепловой энергии, </w:t>
      </w:r>
      <w:r>
        <w:t>в отношении которого проводилась проверка.</w:t>
      </w:r>
    </w:p>
    <w:p w14:paraId="0000023B">
      <w:pPr>
        <w:ind w:firstLine="567"/>
        <w:jc w:val="both"/>
        <w:rPr/>
      </w:pPr>
      <w:r>
        <w:t xml:space="preserve">Потребители предоставляют 1 экземпляр Акта проверки готовности </w:t>
      </w:r>
      <w:r>
        <w:t>к отопительному периоду в теплоснабжающую организацию.</w:t>
      </w:r>
    </w:p>
    <w:p w14:paraId="0000023C">
      <w:pPr>
        <w:ind w:firstLine="567"/>
        <w:jc w:val="both"/>
        <w:rPr/>
      </w:pPr>
      <w:r>
        <w:t xml:space="preserve">Без наличия подписанного комиссией Акта проверки готовности </w:t>
      </w:r>
      <w:r>
        <w:t>объект считается не готовым к отопительному периоду</w:t>
      </w:r>
      <w:r>
        <w:t xml:space="preserve"> </w:t>
      </w:r>
      <w:r>
        <w:t>2024-2025 годов</w:t>
      </w:r>
      <w:r>
        <w:t>.</w:t>
      </w:r>
    </w:p>
    <w:p w14:paraId="0000023D">
      <w:pPr>
        <w:ind w:firstLine="567"/>
        <w:jc w:val="both"/>
        <w:rPr/>
      </w:pPr>
      <w:r>
        <w:t>Еженедельно по пятницам теплоснабжающая организация предоставляет</w:t>
      </w:r>
      <w:r>
        <w:t xml:space="preserve"> в </w:t>
      </w:r>
      <w:r>
        <w:t>а</w:t>
      </w:r>
      <w:r>
        <w:t xml:space="preserve">дминистрацию </w:t>
      </w:r>
      <w:r>
        <w:t xml:space="preserve">Портбайкальского </w:t>
      </w:r>
      <w:r>
        <w:t>МО сведения по подготовке объектов потребителей к отопительному периоду в виде справки на основании</w:t>
      </w:r>
      <w:r>
        <w:t xml:space="preserve"> подписанных комиссией Актов проверки готовности.</w:t>
      </w:r>
    </w:p>
    <w:p w14:paraId="0000023E">
      <w:pPr>
        <w:ind w:firstLine="567"/>
        <w:jc w:val="both"/>
        <w:rPr/>
      </w:pPr>
    </w:p>
    <w:p w14:paraId="0000023F">
      <w:pPr>
        <w:jc w:val="both"/>
        <w:rPr/>
      </w:pPr>
    </w:p>
    <w:p w14:paraId="0000024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>
        <w:rPr>
          <w:sz w:val="20"/>
          <w:szCs w:val="20"/>
        </w:rPr>
        <w:t>1</w:t>
      </w:r>
    </w:p>
    <w:p w14:paraId="0000024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>
        <w:rPr>
          <w:sz w:val="20"/>
          <w:szCs w:val="20"/>
        </w:rPr>
        <w:t xml:space="preserve"> Программе проведения </w:t>
      </w:r>
      <w:r>
        <w:rPr>
          <w:sz w:val="20"/>
          <w:szCs w:val="20"/>
        </w:rPr>
        <w:t>проверки готовности</w:t>
      </w:r>
      <w:r>
        <w:rPr>
          <w:sz w:val="20"/>
          <w:szCs w:val="20"/>
        </w:rPr>
        <w:t xml:space="preserve"> Портбайкальского </w:t>
      </w:r>
      <w:r>
        <w:rPr>
          <w:sz w:val="20"/>
          <w:szCs w:val="20"/>
        </w:rPr>
        <w:t>муниципального</w:t>
      </w:r>
    </w:p>
    <w:p w14:paraId="0000024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>
        <w:rPr>
          <w:sz w:val="20"/>
          <w:szCs w:val="20"/>
        </w:rPr>
        <w:t xml:space="preserve"> к отопительному периоду </w:t>
      </w:r>
      <w:r>
        <w:rPr>
          <w:sz w:val="20"/>
          <w:szCs w:val="20"/>
        </w:rPr>
        <w:t>2024-2025 годов</w:t>
      </w:r>
      <w:r>
        <w:rPr>
          <w:sz w:val="20"/>
          <w:szCs w:val="20"/>
        </w:rPr>
        <w:t>.</w:t>
      </w:r>
    </w:p>
    <w:p w14:paraId="00000243">
      <w:pPr>
        <w:jc w:val="both"/>
        <w:rPr/>
      </w:pPr>
    </w:p>
    <w:p w14:paraId="00000244">
      <w:pPr>
        <w:jc w:val="center"/>
        <w:rPr>
          <w:b/>
        </w:rPr>
      </w:pPr>
      <w:r>
        <w:rPr>
          <w:b/>
        </w:rPr>
        <w:t>АКТ №________</w:t>
      </w:r>
    </w:p>
    <w:p w14:paraId="00000245">
      <w:pPr>
        <w:jc w:val="center"/>
        <w:rPr>
          <w:b/>
        </w:rPr>
      </w:pPr>
      <w:r>
        <w:rPr>
          <w:b/>
        </w:rPr>
        <w:t>проверки готовн</w:t>
      </w:r>
      <w:r>
        <w:rPr>
          <w:b/>
        </w:rPr>
        <w:t>ости к отопительному периоду 2024-2025</w:t>
      </w:r>
      <w:r>
        <w:rPr>
          <w:b/>
        </w:rPr>
        <w:t>гг.</w:t>
      </w:r>
    </w:p>
    <w:p w14:paraId="00000246">
      <w:pPr>
        <w:jc w:val="center"/>
        <w:rPr>
          <w:b/>
        </w:rPr>
      </w:pPr>
    </w:p>
    <w:p w14:paraId="00000247">
      <w:pPr>
        <w:jc w:val="center"/>
        <w:rPr/>
      </w:pPr>
    </w:p>
    <w:p w14:paraId="00000248">
      <w:pPr>
        <w:jc w:val="center"/>
        <w:rPr/>
      </w:pPr>
      <w:r>
        <w:t>п. Байкал</w:t>
      </w:r>
      <w:r>
        <w:t xml:space="preserve">       "_____"_______________ 20__ г.</w:t>
      </w:r>
    </w:p>
    <w:p w14:paraId="00000249">
      <w:pPr>
        <w:ind w:firstLine="567"/>
        <w:rPr>
          <w:sz w:val="20"/>
          <w:szCs w:val="20"/>
        </w:rPr>
      </w:pPr>
      <w:r>
        <w:rPr>
          <w:sz w:val="20"/>
          <w:szCs w:val="20"/>
        </w:rPr>
        <w:t>(место составления акта)   (дата составления акта)</w:t>
      </w:r>
    </w:p>
    <w:p w14:paraId="0000024A">
      <w:pPr>
        <w:jc w:val="center"/>
        <w:rPr/>
      </w:pPr>
    </w:p>
    <w:p w14:paraId="0000024B">
      <w:pPr>
        <w:ind w:firstLine="709"/>
        <w:jc w:val="both"/>
        <w:rPr/>
      </w:pPr>
      <w:r>
        <w:t>Комиссия, образованная пост</w:t>
      </w:r>
      <w:r>
        <w:t xml:space="preserve">ановлением главы </w:t>
      </w:r>
      <w:r>
        <w:t xml:space="preserve">Портбайкальского МО </w:t>
      </w:r>
      <w:r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>
        <w:t xml:space="preserve"> Портбайкальского  МО </w:t>
      </w:r>
      <w:r>
        <w:t>«</w:t>
      </w:r>
      <w:r>
        <w:t>№ 21</w:t>
      </w:r>
      <w:r>
        <w:t xml:space="preserve"> от 13</w:t>
      </w:r>
      <w:r>
        <w:t xml:space="preserve"> </w:t>
      </w:r>
      <w:r>
        <w:t>мая</w:t>
      </w:r>
      <w:r>
        <w:t xml:space="preserve"> 2024</w:t>
      </w:r>
      <w:r>
        <w:t xml:space="preserve"> года, в соответствии с Федеральным законом от 27 июля 2010 г. N 190-ФЗ "О теплоснабжении" и Приказом </w:t>
      </w:r>
      <w:r>
        <w:t>МинТЭКа</w:t>
      </w:r>
      <w:r>
        <w:t xml:space="preserve"> от 12.03.2013 г. провела проверку готовности к отопительному периоду</w:t>
      </w:r>
    </w:p>
    <w:p w14:paraId="0000024C">
      <w:pPr>
        <w:jc w:val="both"/>
        <w:rPr/>
      </w:pPr>
    </w:p>
    <w:p w14:paraId="0000024D">
      <w:pPr>
        <w:jc w:val="both"/>
        <w:rPr/>
      </w:pPr>
      <w:r>
        <w:t xml:space="preserve">_____________________________________________________________________________ </w:t>
      </w:r>
    </w:p>
    <w:p w14:paraId="0000024E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(полное наименование потребителя тепловой энергии в </w:t>
      </w:r>
      <w:r>
        <w:rPr>
          <w:sz w:val="20"/>
          <w:szCs w:val="20"/>
        </w:rPr>
        <w:t>отношении</w:t>
      </w:r>
      <w:r>
        <w:rPr>
          <w:sz w:val="20"/>
          <w:szCs w:val="20"/>
        </w:rPr>
        <w:t xml:space="preserve"> которого проводилась</w:t>
      </w:r>
      <w:r>
        <w:rPr>
          <w:sz w:val="20"/>
          <w:szCs w:val="20"/>
        </w:rPr>
        <w:t xml:space="preserve"> проверка</w:t>
      </w:r>
    </w:p>
    <w:p w14:paraId="0000024F">
      <w:pPr>
        <w:jc w:val="center"/>
        <w:rPr>
          <w:sz w:val="20"/>
          <w:szCs w:val="20"/>
        </w:rPr>
      </w:pPr>
      <w:r>
        <w:rPr>
          <w:sz w:val="20"/>
          <w:szCs w:val="20"/>
        </w:rPr>
        <w:t>готовности к отопительному периоду)</w:t>
      </w:r>
    </w:p>
    <w:p w14:paraId="00000250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14:paraId="00000251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>
        <w:rPr>
          <w:sz w:val="20"/>
          <w:szCs w:val="20"/>
        </w:rPr>
        <w:t xml:space="preserve"> руководителя/уполномоченного представителя потребителя)</w:t>
      </w:r>
    </w:p>
    <w:p w14:paraId="00000252">
      <w:pPr>
        <w:jc w:val="both"/>
        <w:rPr/>
      </w:pPr>
    </w:p>
    <w:p w14:paraId="00000253">
      <w:pPr>
        <w:jc w:val="both"/>
        <w:rPr/>
      </w:pPr>
      <w:r>
        <w:t>В результате проверки установлено:</w:t>
      </w:r>
    </w:p>
    <w:p w14:paraId="00000254">
      <w:pPr>
        <w:jc w:val="both"/>
        <w:rPr/>
      </w:pPr>
    </w:p>
    <w:p w14:paraId="00000255">
      <w:pPr>
        <w:numPr>
          <w:ilvl w:val="0"/>
          <w:numId w:val="7"/>
        </w:numPr>
        <w:ind w:left="0" w:firstLine="567"/>
        <w:jc w:val="both"/>
        <w:rPr/>
      </w:pPr>
      <w:r>
        <w:t xml:space="preserve">промывка оборудования и коммуникаций </w:t>
      </w:r>
      <w:r>
        <w:t>теплопотребляющих</w:t>
      </w:r>
      <w:r>
        <w:t xml:space="preserve"> установок произведена/не произведена;</w:t>
      </w:r>
    </w:p>
    <w:p w14:paraId="00000256">
      <w:pPr>
        <w:numPr>
          <w:ilvl w:val="0"/>
          <w:numId w:val="7"/>
        </w:numPr>
        <w:ind w:left="0" w:firstLine="567"/>
        <w:jc w:val="both"/>
        <w:rPr/>
      </w:pPr>
      <w:r>
        <w:t>план ремонтных работ выполнен/не выполнен;</w:t>
      </w:r>
    </w:p>
    <w:p w14:paraId="00000257">
      <w:pPr>
        <w:numPr>
          <w:ilvl w:val="0"/>
          <w:numId w:val="7"/>
        </w:numPr>
        <w:ind w:left="0" w:firstLine="567"/>
        <w:jc w:val="both"/>
        <w:rPr/>
      </w:pPr>
      <w:r>
        <w:t>тепловые сети, принадлежащие потребителю тепловой энергии, в удовлетворительном</w:t>
      </w:r>
      <w:r>
        <w:t>/неудовлетворительном</w:t>
      </w:r>
      <w:r>
        <w:t xml:space="preserve">  состоянии;</w:t>
      </w:r>
    </w:p>
    <w:p w14:paraId="00000258">
      <w:pPr>
        <w:numPr>
          <w:ilvl w:val="0"/>
          <w:numId w:val="7"/>
        </w:numPr>
        <w:ind w:left="0" w:firstLine="567"/>
        <w:jc w:val="both"/>
        <w:rPr/>
      </w:pPr>
      <w:r>
        <w:t>утепление зданий (чердаки, лестничные клетки, подвалы, двери)  и  центральных тепловых пунктов, а также индивидуальных тепловых пунктов (</w:t>
      </w:r>
      <w:r>
        <w:rPr>
          <w:u w:val="single"/>
        </w:rPr>
        <w:t>в удовлетворительном</w:t>
      </w:r>
      <w:r>
        <w:t>/ неудовлетворительном состоянии);</w:t>
      </w:r>
    </w:p>
    <w:p w14:paraId="00000259">
      <w:pPr>
        <w:numPr>
          <w:ilvl w:val="0"/>
          <w:numId w:val="7"/>
        </w:numPr>
        <w:ind w:left="0" w:firstLine="567"/>
        <w:jc w:val="both"/>
        <w:rPr/>
      </w:pPr>
      <w:r>
        <w:t>трубопроводы, проводы, арматура и тепловая изоляция в пределах тепловых пунктов в удовлетворительном</w:t>
      </w:r>
      <w:r>
        <w:t xml:space="preserve">/неудовлетворительном  </w:t>
      </w:r>
      <w:r>
        <w:t>состоянии;</w:t>
      </w:r>
    </w:p>
    <w:p w14:paraId="0000025A">
      <w:pPr>
        <w:numPr>
          <w:ilvl w:val="0"/>
          <w:numId w:val="7"/>
        </w:numPr>
        <w:ind w:left="0" w:firstLine="567"/>
        <w:jc w:val="both"/>
        <w:rPr/>
      </w:pPr>
      <w:r>
        <w:t>наличие</w:t>
      </w:r>
      <w:r>
        <w:t>/отсутствие</w:t>
      </w:r>
      <w:r>
        <w:t xml:space="preserve"> собственных и ремонтных бригад и обеспеченность их материально-</w:t>
      </w:r>
      <w:r>
        <w:t xml:space="preserve">техническими ресурсами для осуществления надлежащей эксплуатации </w:t>
      </w:r>
      <w:r>
        <w:t>теплопотребляющих</w:t>
      </w:r>
      <w:r>
        <w:t xml:space="preserve"> установок;</w:t>
      </w:r>
    </w:p>
    <w:p w14:paraId="0000025B">
      <w:pPr>
        <w:numPr>
          <w:ilvl w:val="0"/>
          <w:numId w:val="7"/>
        </w:numPr>
        <w:ind w:left="0" w:firstLine="567"/>
        <w:jc w:val="both"/>
        <w:rPr/>
      </w:pPr>
      <w:r>
        <w:t xml:space="preserve">испытания оборудования </w:t>
      </w:r>
      <w:r>
        <w:t>теплопотребляющих</w:t>
      </w:r>
      <w:r>
        <w:t xml:space="preserve"> установок на плотность и прочность проведены</w:t>
      </w:r>
      <w:r>
        <w:t>/ не проведены</w:t>
      </w:r>
      <w:r>
        <w:t>;</w:t>
      </w:r>
    </w:p>
    <w:p w14:paraId="0000025C">
      <w:pPr>
        <w:numPr>
          <w:ilvl w:val="0"/>
          <w:numId w:val="7"/>
        </w:numPr>
        <w:ind w:left="0" w:firstLine="567"/>
        <w:jc w:val="both"/>
        <w:rPr/>
      </w:pPr>
      <w:r>
        <w:t>оборудование теплового пункта испытания на плотность и прочность выдержало</w:t>
      </w:r>
      <w:r>
        <w:t>/не выдержало</w:t>
      </w:r>
      <w:r>
        <w:t>;</w:t>
      </w:r>
    </w:p>
    <w:p w14:paraId="0000025D">
      <w:pPr>
        <w:numPr>
          <w:ilvl w:val="0"/>
          <w:numId w:val="7"/>
        </w:numPr>
        <w:ind w:left="0" w:firstLine="567"/>
        <w:jc w:val="both"/>
        <w:rPr/>
      </w:pPr>
      <w:r>
        <w:t xml:space="preserve">надежность теплоснабжения потребителей тепловой энергии с учетом климатических условий в соответствии с критериями, приведенными в Приложении №3 приказа Министерства энергетики РФ от 12 марта 2013г. № 103 «Об утверждении Правил оценки готовности к отопительному периоду» - </w:t>
      </w:r>
      <w:r>
        <w:rPr>
          <w:u w:val="single"/>
          <w:shd w:val="clear" w:color="auto" w:fill="ffffff"/>
        </w:rPr>
        <w:t>вторая категория</w:t>
      </w:r>
      <w:r>
        <w:rPr>
          <w:shd w:val="clear" w:color="auto" w:fill="ffffff"/>
        </w:rPr>
        <w:t xml:space="preserve"> (потребители, в отношении которых допускается снижение температуры в отапливаемых помещениях на период ликвидации аварии, но не более 54 часов).</w:t>
      </w:r>
    </w:p>
    <w:p w14:paraId="0000025E">
      <w:pPr>
        <w:tabs>
          <w:tab w:val="left" w:pos="1418"/>
        </w:tabs>
        <w:ind w:firstLine="567"/>
        <w:jc w:val="both"/>
        <w:rPr/>
      </w:pPr>
      <w:r>
        <w:t xml:space="preserve">13.    </w:t>
      </w:r>
      <w:r>
        <w:t>протокол проверки знаний ответственного за исправное состояние и безопасную эксплуатацию тепловых энергоустановок (предоставлен / не предоставлен)</w:t>
      </w:r>
    </w:p>
    <w:p w14:paraId="0000025F">
      <w:pPr>
        <w:jc w:val="both"/>
        <w:rPr/>
      </w:pPr>
    </w:p>
    <w:p w14:paraId="00000260">
      <w:pPr>
        <w:jc w:val="both"/>
        <w:rPr/>
      </w:pPr>
      <w:r>
        <w:t xml:space="preserve">Представители </w:t>
      </w:r>
      <w:r>
        <w:t>________________________ /______________________/</w:t>
      </w:r>
    </w:p>
    <w:p w14:paraId="00000261">
      <w:pPr>
        <w:jc w:val="both"/>
        <w:rPr/>
      </w:pPr>
      <w:r>
        <w:t>_____________________________________ /______________________ /</w:t>
      </w:r>
    </w:p>
    <w:p w14:paraId="00000262">
      <w:pPr>
        <w:jc w:val="both"/>
        <w:rPr/>
      </w:pPr>
      <w:r>
        <w:t>_____________________________________ /______________________ /</w:t>
      </w:r>
    </w:p>
    <w:p w14:paraId="00000263">
      <w:pPr>
        <w:jc w:val="both"/>
        <w:rPr/>
      </w:pPr>
      <w:r>
        <w:t xml:space="preserve">В </w:t>
      </w:r>
      <w:r>
        <w:t xml:space="preserve">ходе проведения проверки готовности к отопительному </w:t>
      </w:r>
      <w:r>
        <w:t xml:space="preserve">периоду </w:t>
      </w:r>
      <w:r>
        <w:t>установлена</w:t>
      </w:r>
      <w:r>
        <w:t>:__________________________________________________________________</w:t>
      </w:r>
    </w:p>
    <w:p w14:paraId="00000264">
      <w:pPr>
        <w:jc w:val="center"/>
        <w:rPr>
          <w:sz w:val="20"/>
          <w:szCs w:val="20"/>
        </w:rPr>
      </w:pPr>
      <w:r>
        <w:rPr>
          <w:sz w:val="20"/>
          <w:szCs w:val="20"/>
        </w:rPr>
        <w:t>(готовность/неготовность к работе в отопительном периоде)</w:t>
      </w:r>
    </w:p>
    <w:p w14:paraId="00000265">
      <w:pPr>
        <w:jc w:val="both"/>
        <w:rPr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14:paraId="00000266">
      <w:pPr>
        <w:jc w:val="both"/>
        <w:rPr/>
      </w:pPr>
      <w:r>
        <w:t>_____________________________________________________________________________</w:t>
      </w:r>
    </w:p>
    <w:p w14:paraId="00000267">
      <w:pPr>
        <w:jc w:val="both"/>
        <w:rPr/>
      </w:pPr>
      <w:r>
        <w:t>_____________________________________________________________________________</w:t>
      </w:r>
    </w:p>
    <w:p w14:paraId="00000268">
      <w:pPr>
        <w:jc w:val="both"/>
        <w:rPr/>
      </w:pPr>
      <w:r>
        <w:t>Приложение к акту проверки готовности к отопительному периоду __/__ гг.*</w:t>
      </w:r>
    </w:p>
    <w:p w14:paraId="00000269">
      <w:pPr>
        <w:jc w:val="both"/>
        <w:rPr/>
      </w:pPr>
    </w:p>
    <w:p w14:paraId="0000026A">
      <w:pPr>
        <w:ind w:firstLine="567"/>
        <w:jc w:val="both"/>
        <w:rPr/>
      </w:pPr>
      <w:r>
        <w:t>Председатель комиссии: ___</w:t>
      </w:r>
      <w:r>
        <w:t>_________________/Симакова Н.И.</w:t>
      </w:r>
      <w:r>
        <w:t>/</w:t>
      </w:r>
    </w:p>
    <w:p w14:paraId="0000026B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6C">
      <w:pPr>
        <w:ind w:firstLine="567"/>
        <w:jc w:val="both"/>
        <w:rPr/>
      </w:pPr>
      <w:r>
        <w:t>Члены комиссии:</w:t>
      </w:r>
    </w:p>
    <w:p w14:paraId="0000026D">
      <w:pPr>
        <w:ind w:firstLine="567"/>
        <w:jc w:val="both"/>
        <w:rPr/>
      </w:pPr>
      <w:r>
        <w:t>____________________/_____________</w:t>
      </w:r>
      <w:r>
        <w:t>/</w:t>
      </w:r>
    </w:p>
    <w:p w14:paraId="0000026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6F">
      <w:pPr>
        <w:ind w:firstLine="567"/>
        <w:jc w:val="both"/>
        <w:rPr/>
      </w:pPr>
      <w:r>
        <w:t>____________________</w:t>
      </w:r>
      <w:r>
        <w:t>/</w:t>
      </w:r>
      <w:r>
        <w:t>_____________</w:t>
      </w:r>
      <w:r>
        <w:t>/</w:t>
      </w:r>
    </w:p>
    <w:p w14:paraId="00000270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71">
      <w:pPr>
        <w:ind w:firstLine="567"/>
        <w:jc w:val="both"/>
        <w:rPr/>
      </w:pPr>
      <w:r>
        <w:t>_</w:t>
      </w:r>
      <w:r>
        <w:t>___________________/______________</w:t>
      </w:r>
      <w:r>
        <w:t xml:space="preserve">/ </w:t>
      </w:r>
    </w:p>
    <w:p w14:paraId="00000272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73">
      <w:pPr>
        <w:ind w:firstLine="567"/>
        <w:jc w:val="both"/>
        <w:rPr/>
      </w:pPr>
      <w:r>
        <w:t>__</w:t>
      </w:r>
      <w:r>
        <w:t>__________________/______________</w:t>
      </w:r>
      <w:r>
        <w:t>/</w:t>
      </w:r>
    </w:p>
    <w:p w14:paraId="00000274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75">
      <w:pPr>
        <w:jc w:val="both"/>
        <w:rPr/>
      </w:pPr>
    </w:p>
    <w:p w14:paraId="00000276">
      <w:pPr>
        <w:jc w:val="both"/>
        <w:rPr/>
      </w:pPr>
      <w:r>
        <w:t>С актом проверки готовности ознакомлен, один экземпляр акта получил:</w:t>
      </w:r>
    </w:p>
    <w:p w14:paraId="00000277">
      <w:pPr>
        <w:jc w:val="both"/>
        <w:rPr/>
      </w:pPr>
      <w:r>
        <w:t>"___"____________ 20__ г. ______________________________________________</w:t>
      </w:r>
    </w:p>
    <w:p w14:paraId="00000278">
      <w:pPr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14:paraId="00000279">
      <w:pPr>
        <w:jc w:val="both"/>
        <w:rPr/>
      </w:pPr>
      <w:r>
        <w:t>______________________________</w:t>
      </w:r>
    </w:p>
    <w:p w14:paraId="0000027A">
      <w:pPr>
        <w:jc w:val="both"/>
        <w:rPr/>
      </w:pPr>
    </w:p>
    <w:p w14:paraId="0000027B">
      <w:pPr>
        <w:jc w:val="both"/>
        <w:rPr/>
      </w:pPr>
      <w:r>
        <w:t>* При наличии у комиссии замечаний к выполнению требований по готовностиили при невыполнении требований по готовности к акту прилагается переченьзамечаний с указанием сроков их устранения.</w:t>
      </w:r>
    </w:p>
    <w:p w14:paraId="0000027C">
      <w:pPr>
        <w:jc w:val="both"/>
        <w:rPr/>
      </w:pPr>
      <w:r>
        <w:t>1.________________________________________________________________________</w:t>
      </w:r>
    </w:p>
    <w:p w14:paraId="0000027D">
      <w:pPr>
        <w:jc w:val="both"/>
        <w:rPr/>
      </w:pPr>
      <w:r>
        <w:t>__________________________________________________________________________</w:t>
      </w:r>
    </w:p>
    <w:p w14:paraId="0000027E">
      <w:pPr>
        <w:jc w:val="both"/>
        <w:rPr/>
      </w:pPr>
      <w:r>
        <w:t>Срок устранения -______________________</w:t>
      </w:r>
    </w:p>
    <w:p w14:paraId="0000027F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80">
      <w:pPr>
        <w:jc w:val="both"/>
        <w:rPr/>
      </w:pPr>
      <w:r>
        <w:t>2.________________________________________________________________________</w:t>
      </w:r>
    </w:p>
    <w:p w14:paraId="00000281">
      <w:pPr>
        <w:jc w:val="both"/>
        <w:rPr/>
      </w:pPr>
      <w:r>
        <w:t>__________________________________________________________________________</w:t>
      </w:r>
    </w:p>
    <w:p w14:paraId="00000282">
      <w:pPr>
        <w:jc w:val="both"/>
        <w:rPr/>
      </w:pPr>
      <w:r>
        <w:t>Срок устранения -______________________</w:t>
      </w:r>
    </w:p>
    <w:p w14:paraId="00000283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84">
      <w:pPr>
        <w:jc w:val="both"/>
        <w:rPr/>
      </w:pPr>
      <w:r>
        <w:t>3.________________________________________________________________________</w:t>
      </w:r>
    </w:p>
    <w:p w14:paraId="00000285">
      <w:pPr>
        <w:jc w:val="both"/>
        <w:rPr/>
      </w:pPr>
      <w:r>
        <w:t>__________________________________________________________________________</w:t>
      </w:r>
    </w:p>
    <w:p w14:paraId="00000286">
      <w:pPr>
        <w:jc w:val="both"/>
        <w:rPr/>
      </w:pPr>
      <w:r>
        <w:t>Срок устранения -______________________</w:t>
      </w:r>
    </w:p>
    <w:p w14:paraId="00000287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88">
      <w:pPr>
        <w:jc w:val="both"/>
        <w:rPr>
          <w:sz w:val="20"/>
          <w:szCs w:val="20"/>
        </w:rPr>
      </w:pPr>
    </w:p>
    <w:p w14:paraId="00000289">
      <w:pPr>
        <w:jc w:val="both"/>
        <w:rPr>
          <w:sz w:val="20"/>
          <w:szCs w:val="20"/>
        </w:rPr>
      </w:pPr>
    </w:p>
    <w:p w14:paraId="0000028A">
      <w:pPr>
        <w:jc w:val="both"/>
        <w:rPr>
          <w:sz w:val="20"/>
          <w:szCs w:val="20"/>
        </w:rPr>
      </w:pPr>
    </w:p>
    <w:p w14:paraId="0000028B">
      <w:pPr>
        <w:jc w:val="both"/>
        <w:rPr>
          <w:sz w:val="20"/>
          <w:szCs w:val="20"/>
        </w:rPr>
      </w:pPr>
    </w:p>
    <w:p w14:paraId="0000028C">
      <w:pPr>
        <w:jc w:val="both"/>
        <w:rPr>
          <w:sz w:val="20"/>
          <w:szCs w:val="20"/>
        </w:rPr>
      </w:pPr>
    </w:p>
    <w:p w14:paraId="0000028D">
      <w:pPr>
        <w:jc w:val="both"/>
        <w:rPr>
          <w:sz w:val="20"/>
          <w:szCs w:val="20"/>
        </w:rPr>
      </w:pPr>
    </w:p>
    <w:p w14:paraId="0000028E">
      <w:pPr>
        <w:jc w:val="both"/>
        <w:rPr>
          <w:sz w:val="20"/>
          <w:szCs w:val="20"/>
        </w:rPr>
      </w:pPr>
    </w:p>
    <w:p w14:paraId="0000028F">
      <w:pPr>
        <w:jc w:val="both"/>
        <w:rPr>
          <w:sz w:val="20"/>
          <w:szCs w:val="20"/>
        </w:rPr>
      </w:pPr>
    </w:p>
    <w:p w14:paraId="00000290">
      <w:pPr>
        <w:jc w:val="both"/>
        <w:rPr>
          <w:sz w:val="20"/>
          <w:szCs w:val="20"/>
        </w:rPr>
      </w:pPr>
    </w:p>
    <w:p w14:paraId="00000291">
      <w:pPr>
        <w:jc w:val="both"/>
        <w:rPr>
          <w:sz w:val="20"/>
          <w:szCs w:val="20"/>
        </w:rPr>
      </w:pPr>
    </w:p>
    <w:p w14:paraId="00000292">
      <w:pPr>
        <w:jc w:val="both"/>
        <w:rPr>
          <w:sz w:val="20"/>
          <w:szCs w:val="20"/>
        </w:rPr>
      </w:pPr>
    </w:p>
    <w:p w14:paraId="00000293">
      <w:pPr>
        <w:rPr>
          <w:sz w:val="20"/>
          <w:szCs w:val="20"/>
        </w:rPr>
      </w:pPr>
    </w:p>
    <w:p w14:paraId="00000294">
      <w:pPr>
        <w:jc w:val="center"/>
        <w:rPr>
          <w:b/>
        </w:rPr>
      </w:pPr>
      <w:r>
        <w:rPr>
          <w:b/>
        </w:rPr>
        <w:t>АКТ №________</w:t>
      </w:r>
    </w:p>
    <w:p w14:paraId="00000295">
      <w:pPr>
        <w:jc w:val="center"/>
        <w:rPr>
          <w:b/>
        </w:rPr>
      </w:pPr>
      <w:r>
        <w:rPr>
          <w:b/>
        </w:rPr>
        <w:t>проверки готовн</w:t>
      </w:r>
      <w:r>
        <w:rPr>
          <w:b/>
        </w:rPr>
        <w:t>ости к отопительному периоду 2024-2025</w:t>
      </w:r>
      <w:r>
        <w:rPr>
          <w:b/>
        </w:rPr>
        <w:t>гг.</w:t>
      </w:r>
    </w:p>
    <w:p w14:paraId="00000296">
      <w:pPr>
        <w:jc w:val="center"/>
        <w:rPr>
          <w:b/>
        </w:rPr>
      </w:pPr>
    </w:p>
    <w:p w14:paraId="00000297">
      <w:pPr>
        <w:jc w:val="center"/>
        <w:rPr/>
      </w:pPr>
    </w:p>
    <w:p w14:paraId="00000298">
      <w:pPr>
        <w:jc w:val="center"/>
        <w:rPr/>
      </w:pPr>
      <w:r>
        <w:t>п. Байкал</w:t>
      </w:r>
      <w:r>
        <w:t xml:space="preserve">                                                       "_____"_______________ 20__ г.</w:t>
      </w:r>
    </w:p>
    <w:p w14:paraId="00000299">
      <w:pPr>
        <w:ind w:firstLine="567"/>
        <w:rPr>
          <w:sz w:val="20"/>
          <w:szCs w:val="20"/>
        </w:rPr>
      </w:pPr>
      <w:r>
        <w:rPr>
          <w:sz w:val="20"/>
          <w:szCs w:val="20"/>
        </w:rPr>
        <w:t>(место составления акта)   (дата составления акта)</w:t>
      </w:r>
    </w:p>
    <w:p w14:paraId="0000029A">
      <w:pPr>
        <w:jc w:val="center"/>
        <w:rPr/>
      </w:pPr>
    </w:p>
    <w:p w14:paraId="0000029B">
      <w:pPr>
        <w:jc w:val="both"/>
        <w:rPr/>
      </w:pPr>
      <w:r>
        <w:t>Комиссия, образованная пост</w:t>
      </w:r>
      <w:r>
        <w:t>ановлением главы МО «Портбайкальское</w:t>
      </w:r>
      <w:r>
        <w:t>»</w:t>
      </w:r>
      <w:r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>
        <w:t xml:space="preserve"> Портбайкальского </w:t>
      </w:r>
      <w:r>
        <w:t xml:space="preserve"> </w:t>
      </w:r>
      <w:r>
        <w:t xml:space="preserve">МО </w:t>
      </w:r>
      <w:r>
        <w:t>№ 21</w:t>
      </w:r>
      <w:r>
        <w:t xml:space="preserve"> от</w:t>
      </w:r>
      <w:r>
        <w:t xml:space="preserve"> 13</w:t>
      </w:r>
      <w:r>
        <w:t xml:space="preserve"> мая</w:t>
      </w:r>
      <w:r>
        <w:t xml:space="preserve"> 2024</w:t>
      </w:r>
      <w:r>
        <w:t xml:space="preserve"> года,</w:t>
      </w:r>
      <w:r>
        <w:t xml:space="preserve"> в соответствии с Федеральным законом от 27 июля 2010 г. N 190-ФЗ "О теплоснабжении" и Приказом </w:t>
      </w:r>
      <w:r>
        <w:t>МинТЭКа</w:t>
      </w:r>
      <w:r>
        <w:t xml:space="preserve"> от 12.03.2013 г. провела проверку готовности к отопительному периоду</w:t>
      </w:r>
    </w:p>
    <w:p w14:paraId="0000029C">
      <w:pPr>
        <w:jc w:val="both"/>
        <w:rPr/>
      </w:pPr>
    </w:p>
    <w:p w14:paraId="0000029D">
      <w:pPr>
        <w:jc w:val="both"/>
        <w:rPr/>
      </w:pPr>
      <w:r>
        <w:t xml:space="preserve">_____________________________________________________________________________ </w:t>
      </w:r>
    </w:p>
    <w:p w14:paraId="0000029E">
      <w:pPr>
        <w:jc w:val="center"/>
        <w:rPr>
          <w:sz w:val="20"/>
          <w:szCs w:val="20"/>
        </w:rPr>
      </w:pPr>
      <w:r>
        <w:rPr>
          <w:sz w:val="20"/>
          <w:szCs w:val="20"/>
        </w:rPr>
        <w:t>(полное наименова</w:t>
      </w:r>
      <w:r>
        <w:rPr>
          <w:sz w:val="20"/>
          <w:szCs w:val="20"/>
        </w:rPr>
        <w:t xml:space="preserve">ние </w:t>
      </w:r>
      <w:r>
        <w:rPr>
          <w:sz w:val="20"/>
          <w:szCs w:val="20"/>
        </w:rPr>
        <w:t>теплоснабжающей организации</w:t>
      </w:r>
      <w:r>
        <w:rPr>
          <w:sz w:val="20"/>
          <w:szCs w:val="20"/>
        </w:rPr>
        <w:t xml:space="preserve">в </w:t>
      </w:r>
      <w:r>
        <w:rPr>
          <w:sz w:val="20"/>
          <w:szCs w:val="20"/>
        </w:rPr>
        <w:t>отношении</w:t>
      </w:r>
      <w:r>
        <w:rPr>
          <w:sz w:val="20"/>
          <w:szCs w:val="20"/>
        </w:rPr>
        <w:t xml:space="preserve"> которой</w:t>
      </w:r>
      <w:r>
        <w:rPr>
          <w:sz w:val="20"/>
          <w:szCs w:val="20"/>
        </w:rPr>
        <w:t xml:space="preserve"> проводилась</w:t>
      </w:r>
      <w:r>
        <w:rPr>
          <w:sz w:val="20"/>
          <w:szCs w:val="20"/>
        </w:rPr>
        <w:t xml:space="preserve"> проверка</w:t>
      </w:r>
    </w:p>
    <w:p w14:paraId="0000029F">
      <w:pPr>
        <w:jc w:val="center"/>
        <w:rPr>
          <w:sz w:val="20"/>
          <w:szCs w:val="20"/>
        </w:rPr>
      </w:pPr>
      <w:r>
        <w:rPr>
          <w:sz w:val="20"/>
          <w:szCs w:val="20"/>
        </w:rPr>
        <w:t>готовности к отопительному периоду)</w:t>
      </w:r>
    </w:p>
    <w:p w14:paraId="000002A0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14:paraId="000002A1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>
        <w:rPr>
          <w:sz w:val="20"/>
          <w:szCs w:val="20"/>
        </w:rPr>
        <w:t xml:space="preserve"> руководителя/уполномоченного представителя потребителя)</w:t>
      </w:r>
    </w:p>
    <w:p w14:paraId="000002A2">
      <w:pPr>
        <w:jc w:val="both"/>
        <w:rPr/>
      </w:pPr>
    </w:p>
    <w:p w14:paraId="000002A3">
      <w:pPr>
        <w:jc w:val="both"/>
        <w:rPr/>
      </w:pPr>
      <w:r>
        <w:t>В результате проверки установлено:</w:t>
      </w:r>
    </w:p>
    <w:p w14:paraId="000002A4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14:paraId="000002A5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14:paraId="000002A6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3) соблюдение критериев надежности теплоснабжения, установленных техническими регламентами;</w:t>
      </w:r>
    </w:p>
    <w:p w14:paraId="000002A7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4) наличие нормативных запасов топлива на источниках тепловой энергии;</w:t>
      </w:r>
    </w:p>
    <w:p w14:paraId="000002A8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5) функционирование эксплуатационной, диспетчерской и аварийной служб, а именно:</w:t>
      </w:r>
    </w:p>
    <w:p w14:paraId="000002A9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укомплектованность указанных служб персоналом;</w:t>
      </w:r>
    </w:p>
    <w:p w14:paraId="000002AA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14:paraId="000002A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6) проведение наладки тепловых сетей;</w:t>
      </w:r>
    </w:p>
    <w:p w14:paraId="000002AC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7) организация контроля режимов потребления тепловой энергии;</w:t>
      </w:r>
    </w:p>
    <w:p w14:paraId="000002AD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8) обеспечение качества теплоносителей;</w:t>
      </w:r>
    </w:p>
    <w:p w14:paraId="000002AE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9</w:t>
      </w:r>
      <w:r>
        <w:rPr>
          <w:sz w:val="25"/>
          <w:szCs w:val="25"/>
        </w:rPr>
        <w:t>) обеспечение безаварийной работы объектов теплоснабжения и надежного теплоснабжения потребителей тепловой энергии, а именно:</w:t>
      </w:r>
    </w:p>
    <w:p w14:paraId="000002AF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готовность систем приема и разгрузки топлива, топливо</w:t>
      </w:r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приготовления и топливоподачи;</w:t>
      </w:r>
    </w:p>
    <w:p w14:paraId="000002B0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соблюдение водно-химического режима;</w:t>
      </w:r>
    </w:p>
    <w:p w14:paraId="000002B1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14:paraId="000002B2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14:paraId="000002B3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наличие расчетов допустимого времени устранения аварийных нарушений теплоснабжения жилых домов;</w:t>
      </w:r>
    </w:p>
    <w:p w14:paraId="000002B4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наличие порядка ликвидации аварийных ситуаций в системах теплоснабжения;</w:t>
      </w:r>
    </w:p>
    <w:p w14:paraId="000002B5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проведение гидравлических и тепловых испытаний тепловых сетей;</w:t>
      </w:r>
    </w:p>
    <w:p w14:paraId="000002B6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14:paraId="000002B7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- выполнение планового графика ремонта тепловых сетей и источников тепловой энергии;</w:t>
      </w:r>
    </w:p>
    <w:p w14:paraId="000002B8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- наличие договора поставки топлива, не допускающих перебоев поставки и снижения установленных нормативов запасов топлива; </w:t>
      </w:r>
    </w:p>
    <w:p w14:paraId="000002B9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</w:t>
      </w:r>
      <w:r>
        <w:rPr>
          <w:sz w:val="25"/>
          <w:szCs w:val="25"/>
        </w:rPr>
        <w:t>0</w:t>
      </w:r>
      <w:r>
        <w:rPr>
          <w:sz w:val="25"/>
          <w:szCs w:val="25"/>
        </w:rPr>
        <w:t>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14:paraId="000002BA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11</w:t>
      </w:r>
      <w:r>
        <w:rPr>
          <w:sz w:val="25"/>
          <w:szCs w:val="25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14:paraId="000002BB">
      <w:pPr>
        <w:ind w:firstLine="567"/>
        <w:jc w:val="both"/>
        <w:rPr>
          <w:sz w:val="25"/>
          <w:szCs w:val="25"/>
        </w:rPr>
      </w:pPr>
    </w:p>
    <w:p w14:paraId="000002BC">
      <w:pPr>
        <w:ind w:firstLine="567"/>
        <w:jc w:val="both"/>
        <w:rPr>
          <w:sz w:val="25"/>
          <w:szCs w:val="25"/>
        </w:rPr>
      </w:pPr>
    </w:p>
    <w:p w14:paraId="000002BD">
      <w:pPr>
        <w:jc w:val="right"/>
        <w:rPr>
          <w:sz w:val="20"/>
          <w:szCs w:val="20"/>
        </w:rPr>
      </w:pPr>
    </w:p>
    <w:p w14:paraId="000002BE">
      <w:pPr>
        <w:jc w:val="both"/>
        <w:rPr/>
      </w:pPr>
      <w:r>
        <w:t xml:space="preserve">Представители </w:t>
      </w:r>
      <w:r>
        <w:t>________________________ /______________________/</w:t>
      </w:r>
    </w:p>
    <w:p w14:paraId="000002BF">
      <w:pPr>
        <w:jc w:val="both"/>
        <w:rPr/>
      </w:pPr>
      <w:r>
        <w:t>_____________________________________ /______________________ /</w:t>
      </w:r>
    </w:p>
    <w:p w14:paraId="000002C0">
      <w:pPr>
        <w:jc w:val="both"/>
        <w:rPr/>
      </w:pPr>
      <w:r>
        <w:t>_____________________________________ /______________________ /</w:t>
      </w:r>
    </w:p>
    <w:p w14:paraId="000002C1">
      <w:pPr>
        <w:jc w:val="both"/>
        <w:rPr/>
      </w:pPr>
      <w:r>
        <w:t xml:space="preserve">В ходе проведения проверки готовности к отопительному периоду </w:t>
      </w:r>
      <w:r>
        <w:t>установлена</w:t>
      </w:r>
      <w:r>
        <w:t>:__________________________________________________________________</w:t>
      </w:r>
    </w:p>
    <w:p w14:paraId="000002C2">
      <w:pPr>
        <w:jc w:val="center"/>
        <w:rPr>
          <w:sz w:val="20"/>
          <w:szCs w:val="20"/>
        </w:rPr>
      </w:pPr>
      <w:r>
        <w:rPr>
          <w:sz w:val="20"/>
          <w:szCs w:val="20"/>
        </w:rPr>
        <w:t>(готовность/неготовность к работе в отопительном периоде)</w:t>
      </w:r>
    </w:p>
    <w:p w14:paraId="000002C3">
      <w:pPr>
        <w:jc w:val="both"/>
        <w:rPr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14:paraId="000002C4">
      <w:pPr>
        <w:jc w:val="both"/>
        <w:rPr/>
      </w:pPr>
      <w:r>
        <w:t>_____________________________________________________________________________</w:t>
      </w:r>
    </w:p>
    <w:p w14:paraId="000002C5">
      <w:pPr>
        <w:jc w:val="both"/>
        <w:rPr/>
      </w:pPr>
      <w:r>
        <w:t>_____________________________________________________________________________</w:t>
      </w:r>
    </w:p>
    <w:p w14:paraId="000002C6">
      <w:pPr>
        <w:jc w:val="both"/>
        <w:rPr/>
      </w:pPr>
      <w:r>
        <w:t>Приложение к акту проверки готовности к отопительному периоду __/__ гг.*</w:t>
      </w:r>
    </w:p>
    <w:p w14:paraId="000002C7">
      <w:pPr>
        <w:jc w:val="both"/>
        <w:rPr/>
      </w:pPr>
    </w:p>
    <w:p w14:paraId="000002C8">
      <w:pPr>
        <w:ind w:firstLine="567"/>
        <w:jc w:val="both"/>
        <w:rPr/>
      </w:pPr>
      <w:r>
        <w:t>Председатель комиссии: ___</w:t>
      </w:r>
      <w:r>
        <w:t>_________________/Симакова Н.И.</w:t>
      </w:r>
      <w:r>
        <w:t>/</w:t>
      </w:r>
    </w:p>
    <w:p w14:paraId="000002C9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CA">
      <w:pPr>
        <w:ind w:firstLine="567"/>
        <w:jc w:val="both"/>
        <w:rPr/>
      </w:pPr>
      <w:r>
        <w:t>Члены комиссии:</w:t>
      </w:r>
    </w:p>
    <w:p w14:paraId="000002CB">
      <w:pPr>
        <w:ind w:firstLine="567"/>
        <w:jc w:val="both"/>
        <w:rPr/>
      </w:pPr>
      <w:r>
        <w:t>_</w:t>
      </w:r>
      <w:r>
        <w:t>___________________/_______________</w:t>
      </w:r>
      <w:r>
        <w:t>/</w:t>
      </w:r>
    </w:p>
    <w:p w14:paraId="000002CC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CD">
      <w:pPr>
        <w:ind w:firstLine="567"/>
        <w:jc w:val="both"/>
        <w:rPr/>
      </w:pPr>
      <w:r>
        <w:t>____________________</w:t>
      </w:r>
      <w:r>
        <w:t>/</w:t>
      </w:r>
      <w:r>
        <w:t>_______________</w:t>
      </w:r>
      <w:r>
        <w:t>/</w:t>
      </w:r>
    </w:p>
    <w:p w14:paraId="000002CE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CF">
      <w:pPr>
        <w:ind w:firstLine="567"/>
        <w:jc w:val="both"/>
        <w:rPr/>
      </w:pPr>
      <w:r>
        <w:t>____________________/</w:t>
      </w:r>
      <w:r>
        <w:t>_______________</w:t>
      </w:r>
      <w:r>
        <w:t xml:space="preserve">/ </w:t>
      </w:r>
    </w:p>
    <w:p w14:paraId="000002D0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D1">
      <w:pPr>
        <w:ind w:firstLine="567"/>
        <w:jc w:val="both"/>
        <w:rPr/>
      </w:pPr>
      <w:r>
        <w:t>___</w:t>
      </w:r>
      <w:r>
        <w:t>_________________/______________</w:t>
      </w:r>
      <w:r>
        <w:t>/</w:t>
      </w:r>
    </w:p>
    <w:p w14:paraId="000002D2">
      <w:pPr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подписи)</w:t>
      </w:r>
    </w:p>
    <w:p w14:paraId="000002D3">
      <w:pPr>
        <w:jc w:val="both"/>
        <w:rPr/>
      </w:pPr>
    </w:p>
    <w:p w14:paraId="000002D4">
      <w:pPr>
        <w:jc w:val="both"/>
        <w:rPr/>
      </w:pPr>
      <w:r>
        <w:t>С актом проверки готовности ознакомлен, один экземпляр акта получил:</w:t>
      </w:r>
    </w:p>
    <w:p w14:paraId="000002D5">
      <w:pPr>
        <w:jc w:val="both"/>
        <w:rPr/>
      </w:pPr>
      <w:r>
        <w:t>"___"____________ 20__ г. ______________________________________________</w:t>
      </w:r>
    </w:p>
    <w:p w14:paraId="000002D6">
      <w:pPr>
        <w:jc w:val="both"/>
        <w:rPr>
          <w:sz w:val="20"/>
          <w:szCs w:val="20"/>
        </w:rPr>
      </w:pPr>
      <w:r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14:paraId="000002D7">
      <w:pPr>
        <w:jc w:val="both"/>
        <w:rPr/>
      </w:pPr>
    </w:p>
    <w:p w14:paraId="000002D8">
      <w:pPr>
        <w:jc w:val="both"/>
        <w:rPr/>
      </w:pPr>
      <w: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14:paraId="000002D9">
      <w:pPr>
        <w:jc w:val="both"/>
        <w:rPr/>
      </w:pPr>
      <w:r>
        <w:t>1.________________________________________________________________________</w:t>
      </w:r>
    </w:p>
    <w:p w14:paraId="000002DA">
      <w:pPr>
        <w:jc w:val="both"/>
        <w:rPr/>
      </w:pPr>
      <w:r>
        <w:t>__________________________________________________________________________</w:t>
      </w:r>
    </w:p>
    <w:p w14:paraId="000002DB">
      <w:pPr>
        <w:jc w:val="both"/>
        <w:rPr/>
      </w:pPr>
      <w:r>
        <w:t>Срок устранения -______________________</w:t>
      </w:r>
    </w:p>
    <w:p w14:paraId="000002DC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DD">
      <w:pPr>
        <w:jc w:val="both"/>
        <w:rPr/>
      </w:pPr>
      <w:r>
        <w:t>2.________________________________________________________________________</w:t>
      </w:r>
    </w:p>
    <w:p w14:paraId="000002DE">
      <w:pPr>
        <w:jc w:val="both"/>
        <w:rPr/>
      </w:pPr>
      <w:r>
        <w:t>__________________________________________________________________________</w:t>
      </w:r>
    </w:p>
    <w:p w14:paraId="000002DF">
      <w:pPr>
        <w:jc w:val="both"/>
        <w:rPr/>
      </w:pPr>
      <w:r>
        <w:t>Срок устранения -______________________</w:t>
      </w:r>
    </w:p>
    <w:p w14:paraId="000002E0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E1">
      <w:pPr>
        <w:jc w:val="both"/>
        <w:rPr/>
      </w:pPr>
      <w:r>
        <w:t>3.________________________________________________________________________</w:t>
      </w:r>
    </w:p>
    <w:p w14:paraId="000002E2">
      <w:pPr>
        <w:jc w:val="both"/>
        <w:rPr/>
      </w:pPr>
      <w:r>
        <w:t>__________________________________________________________________________</w:t>
      </w:r>
    </w:p>
    <w:p w14:paraId="000002E3">
      <w:pPr>
        <w:jc w:val="both"/>
        <w:rPr/>
      </w:pPr>
      <w:r>
        <w:t>Срок устранения -______________________</w:t>
      </w:r>
    </w:p>
    <w:p w14:paraId="000002E4">
      <w:pPr>
        <w:jc w:val="both"/>
        <w:rPr>
          <w:sz w:val="20"/>
          <w:szCs w:val="20"/>
        </w:rPr>
      </w:pPr>
      <w:r>
        <w:rPr>
          <w:sz w:val="20"/>
          <w:szCs w:val="20"/>
        </w:rPr>
        <w:t>(дата)</w:t>
      </w:r>
    </w:p>
    <w:p w14:paraId="000002E5">
      <w:pPr>
        <w:jc w:val="right"/>
        <w:rPr>
          <w:sz w:val="20"/>
          <w:szCs w:val="20"/>
        </w:rPr>
      </w:pPr>
    </w:p>
    <w:p w14:paraId="000002E6">
      <w:pPr>
        <w:jc w:val="right"/>
        <w:rPr>
          <w:sz w:val="20"/>
          <w:szCs w:val="20"/>
        </w:rPr>
      </w:pPr>
    </w:p>
    <w:p w14:paraId="000002E7">
      <w:pPr>
        <w:jc w:val="right"/>
        <w:rPr>
          <w:sz w:val="20"/>
          <w:szCs w:val="20"/>
        </w:rPr>
      </w:pPr>
    </w:p>
    <w:p w14:paraId="000002E8">
      <w:pPr>
        <w:jc w:val="right"/>
        <w:rPr>
          <w:sz w:val="20"/>
          <w:szCs w:val="20"/>
        </w:rPr>
      </w:pPr>
    </w:p>
    <w:p w14:paraId="000002E9">
      <w:pPr>
        <w:jc w:val="right"/>
        <w:rPr>
          <w:sz w:val="20"/>
          <w:szCs w:val="20"/>
        </w:rPr>
      </w:pPr>
    </w:p>
    <w:p w14:paraId="000002EA">
      <w:pPr>
        <w:jc w:val="right"/>
        <w:rPr>
          <w:sz w:val="20"/>
          <w:szCs w:val="20"/>
        </w:rPr>
      </w:pPr>
    </w:p>
    <w:p w14:paraId="000002EB">
      <w:pPr>
        <w:jc w:val="right"/>
        <w:rPr>
          <w:sz w:val="20"/>
          <w:szCs w:val="20"/>
        </w:rPr>
      </w:pPr>
    </w:p>
    <w:p w14:paraId="000002EC">
      <w:pPr>
        <w:jc w:val="right"/>
        <w:rPr>
          <w:sz w:val="20"/>
          <w:szCs w:val="20"/>
        </w:rPr>
      </w:pPr>
    </w:p>
    <w:p w14:paraId="000002ED">
      <w:pPr>
        <w:jc w:val="right"/>
        <w:rPr>
          <w:sz w:val="20"/>
          <w:szCs w:val="20"/>
        </w:rPr>
      </w:pPr>
    </w:p>
    <w:p w14:paraId="000002EE">
      <w:pPr>
        <w:jc w:val="right"/>
        <w:rPr>
          <w:sz w:val="20"/>
          <w:szCs w:val="20"/>
        </w:rPr>
      </w:pPr>
    </w:p>
    <w:p w14:paraId="000002EF">
      <w:pPr>
        <w:jc w:val="right"/>
        <w:rPr>
          <w:sz w:val="20"/>
          <w:szCs w:val="20"/>
        </w:rPr>
      </w:pPr>
    </w:p>
    <w:p w14:paraId="000002F0">
      <w:pPr>
        <w:jc w:val="right"/>
        <w:rPr>
          <w:sz w:val="20"/>
          <w:szCs w:val="20"/>
        </w:rPr>
      </w:pPr>
    </w:p>
    <w:p w14:paraId="000002F1">
      <w:pPr>
        <w:jc w:val="right"/>
        <w:rPr>
          <w:sz w:val="20"/>
          <w:szCs w:val="20"/>
        </w:rPr>
      </w:pPr>
    </w:p>
    <w:p w14:paraId="000002F2">
      <w:pPr>
        <w:jc w:val="right"/>
        <w:rPr>
          <w:sz w:val="20"/>
          <w:szCs w:val="20"/>
        </w:rPr>
      </w:pPr>
    </w:p>
    <w:p w14:paraId="000002F3">
      <w:pPr>
        <w:jc w:val="right"/>
        <w:rPr>
          <w:sz w:val="20"/>
          <w:szCs w:val="20"/>
        </w:rPr>
      </w:pPr>
    </w:p>
    <w:p w14:paraId="000002F4">
      <w:pPr>
        <w:jc w:val="right"/>
        <w:rPr>
          <w:sz w:val="20"/>
          <w:szCs w:val="20"/>
        </w:rPr>
      </w:pPr>
    </w:p>
    <w:p w14:paraId="000002F5">
      <w:pPr>
        <w:jc w:val="right"/>
        <w:rPr>
          <w:sz w:val="20"/>
          <w:szCs w:val="20"/>
        </w:rPr>
      </w:pPr>
    </w:p>
    <w:p w14:paraId="000002F6">
      <w:pPr>
        <w:jc w:val="right"/>
        <w:rPr>
          <w:sz w:val="20"/>
          <w:szCs w:val="20"/>
        </w:rPr>
      </w:pPr>
    </w:p>
    <w:p w14:paraId="000002F7">
      <w:pPr>
        <w:jc w:val="right"/>
        <w:rPr>
          <w:sz w:val="20"/>
          <w:szCs w:val="20"/>
        </w:rPr>
      </w:pPr>
    </w:p>
    <w:p w14:paraId="000002F8">
      <w:pPr>
        <w:jc w:val="right"/>
        <w:rPr>
          <w:sz w:val="20"/>
          <w:szCs w:val="20"/>
        </w:rPr>
      </w:pPr>
    </w:p>
    <w:p w14:paraId="000002F9">
      <w:pPr>
        <w:jc w:val="right"/>
        <w:rPr>
          <w:sz w:val="20"/>
          <w:szCs w:val="20"/>
        </w:rPr>
      </w:pPr>
    </w:p>
    <w:p w14:paraId="000002FA">
      <w:pPr>
        <w:jc w:val="right"/>
        <w:rPr>
          <w:sz w:val="20"/>
          <w:szCs w:val="20"/>
        </w:rPr>
      </w:pPr>
    </w:p>
    <w:p w14:paraId="000002FB">
      <w:pPr>
        <w:jc w:val="right"/>
        <w:rPr>
          <w:sz w:val="20"/>
          <w:szCs w:val="20"/>
        </w:rPr>
      </w:pPr>
    </w:p>
    <w:p w14:paraId="000002FC">
      <w:pPr>
        <w:jc w:val="right"/>
        <w:rPr>
          <w:sz w:val="20"/>
          <w:szCs w:val="20"/>
        </w:rPr>
      </w:pPr>
    </w:p>
    <w:p w14:paraId="000002FD">
      <w:pPr>
        <w:jc w:val="right"/>
        <w:rPr>
          <w:sz w:val="20"/>
          <w:szCs w:val="20"/>
        </w:rPr>
      </w:pPr>
    </w:p>
    <w:p w14:paraId="000002FE">
      <w:pPr>
        <w:jc w:val="right"/>
        <w:rPr>
          <w:sz w:val="20"/>
          <w:szCs w:val="20"/>
        </w:rPr>
      </w:pPr>
    </w:p>
    <w:p w14:paraId="000002FF">
      <w:pPr>
        <w:jc w:val="right"/>
        <w:rPr>
          <w:sz w:val="20"/>
          <w:szCs w:val="20"/>
        </w:rPr>
      </w:pPr>
    </w:p>
    <w:p w14:paraId="00000300">
      <w:pPr>
        <w:jc w:val="right"/>
        <w:rPr>
          <w:sz w:val="20"/>
          <w:szCs w:val="20"/>
        </w:rPr>
      </w:pPr>
    </w:p>
    <w:p w14:paraId="00000301">
      <w:pPr>
        <w:jc w:val="right"/>
        <w:rPr>
          <w:sz w:val="20"/>
          <w:szCs w:val="20"/>
        </w:rPr>
      </w:pPr>
    </w:p>
    <w:p w14:paraId="00000302">
      <w:pPr>
        <w:jc w:val="right"/>
        <w:rPr>
          <w:sz w:val="20"/>
          <w:szCs w:val="20"/>
        </w:rPr>
      </w:pPr>
    </w:p>
    <w:p w14:paraId="00000303">
      <w:pPr>
        <w:jc w:val="right"/>
        <w:rPr>
          <w:sz w:val="20"/>
          <w:szCs w:val="20"/>
        </w:rPr>
      </w:pPr>
    </w:p>
    <w:p w14:paraId="00000304">
      <w:pPr>
        <w:jc w:val="right"/>
        <w:rPr>
          <w:sz w:val="20"/>
          <w:szCs w:val="20"/>
        </w:rPr>
      </w:pPr>
    </w:p>
    <w:p w14:paraId="00000305">
      <w:pPr>
        <w:jc w:val="right"/>
        <w:rPr>
          <w:sz w:val="20"/>
          <w:szCs w:val="20"/>
        </w:rPr>
      </w:pPr>
    </w:p>
    <w:p w14:paraId="00000306">
      <w:pPr>
        <w:jc w:val="right"/>
        <w:rPr>
          <w:sz w:val="20"/>
          <w:szCs w:val="20"/>
        </w:rPr>
      </w:pPr>
    </w:p>
    <w:p w14:paraId="00000307">
      <w:pPr>
        <w:jc w:val="right"/>
        <w:rPr>
          <w:sz w:val="20"/>
          <w:szCs w:val="20"/>
        </w:rPr>
      </w:pPr>
    </w:p>
    <w:p w14:paraId="00000308">
      <w:pPr>
        <w:jc w:val="right"/>
        <w:rPr>
          <w:sz w:val="20"/>
          <w:szCs w:val="20"/>
        </w:rPr>
      </w:pPr>
    </w:p>
    <w:p w14:paraId="00000309">
      <w:pPr>
        <w:jc w:val="right"/>
        <w:rPr>
          <w:sz w:val="20"/>
          <w:szCs w:val="20"/>
        </w:rPr>
      </w:pPr>
    </w:p>
    <w:p w14:paraId="0000030A">
      <w:pPr>
        <w:jc w:val="right"/>
        <w:rPr>
          <w:sz w:val="20"/>
          <w:szCs w:val="20"/>
        </w:rPr>
      </w:pPr>
    </w:p>
    <w:p w14:paraId="0000030B">
      <w:pPr>
        <w:jc w:val="right"/>
        <w:rPr>
          <w:sz w:val="20"/>
          <w:szCs w:val="20"/>
        </w:rPr>
      </w:pPr>
    </w:p>
    <w:p w14:paraId="0000030C">
      <w:pPr>
        <w:jc w:val="right"/>
        <w:rPr>
          <w:sz w:val="20"/>
          <w:szCs w:val="20"/>
        </w:rPr>
      </w:pPr>
    </w:p>
    <w:p w14:paraId="0000030D">
      <w:pPr>
        <w:jc w:val="right"/>
        <w:rPr>
          <w:sz w:val="20"/>
          <w:szCs w:val="20"/>
        </w:rPr>
      </w:pPr>
    </w:p>
    <w:p w14:paraId="0000030E">
      <w:pPr>
        <w:jc w:val="right"/>
        <w:rPr>
          <w:sz w:val="20"/>
          <w:szCs w:val="20"/>
        </w:rPr>
      </w:pPr>
    </w:p>
    <w:p w14:paraId="0000030F">
      <w:pPr>
        <w:jc w:val="right"/>
        <w:rPr>
          <w:sz w:val="20"/>
          <w:szCs w:val="20"/>
        </w:rPr>
      </w:pPr>
    </w:p>
    <w:p w14:paraId="00000310">
      <w:pPr>
        <w:jc w:val="right"/>
        <w:rPr>
          <w:sz w:val="20"/>
          <w:szCs w:val="20"/>
        </w:rPr>
      </w:pPr>
    </w:p>
    <w:p w14:paraId="00000311">
      <w:pPr>
        <w:jc w:val="right"/>
        <w:rPr>
          <w:sz w:val="20"/>
          <w:szCs w:val="20"/>
        </w:rPr>
      </w:pPr>
    </w:p>
    <w:p w14:paraId="00000312">
      <w:pPr>
        <w:jc w:val="right"/>
        <w:rPr>
          <w:sz w:val="20"/>
          <w:szCs w:val="20"/>
        </w:rPr>
      </w:pPr>
    </w:p>
    <w:p w14:paraId="00000313">
      <w:pPr>
        <w:jc w:val="right"/>
        <w:rPr>
          <w:sz w:val="20"/>
          <w:szCs w:val="20"/>
        </w:rPr>
      </w:pPr>
    </w:p>
    <w:p w14:paraId="00000314">
      <w:pPr>
        <w:jc w:val="right"/>
        <w:rPr>
          <w:sz w:val="20"/>
          <w:szCs w:val="20"/>
        </w:rPr>
      </w:pPr>
    </w:p>
    <w:p w14:paraId="00000315">
      <w:pPr>
        <w:jc w:val="right"/>
        <w:rPr>
          <w:sz w:val="20"/>
          <w:szCs w:val="20"/>
        </w:rPr>
      </w:pPr>
    </w:p>
    <w:p w14:paraId="00000316">
      <w:pPr>
        <w:jc w:val="right"/>
        <w:rPr>
          <w:sz w:val="20"/>
          <w:szCs w:val="20"/>
        </w:rPr>
      </w:pPr>
    </w:p>
    <w:p w14:paraId="00000317">
      <w:pPr>
        <w:jc w:val="right"/>
        <w:rPr>
          <w:sz w:val="20"/>
          <w:szCs w:val="20"/>
        </w:rPr>
      </w:pPr>
    </w:p>
    <w:p w14:paraId="00000318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</w:t>
      </w:r>
      <w:r>
        <w:rPr>
          <w:sz w:val="20"/>
          <w:szCs w:val="20"/>
        </w:rPr>
        <w:t>2</w:t>
      </w:r>
    </w:p>
    <w:p w14:paraId="0000031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Программе проведения </w:t>
      </w:r>
      <w:r>
        <w:rPr>
          <w:sz w:val="20"/>
          <w:szCs w:val="20"/>
        </w:rPr>
        <w:t xml:space="preserve">проверки готовности </w:t>
      </w:r>
      <w:r>
        <w:rPr>
          <w:sz w:val="20"/>
          <w:szCs w:val="20"/>
        </w:rPr>
        <w:t xml:space="preserve">Портбайкальского </w:t>
      </w:r>
      <w:r>
        <w:rPr>
          <w:sz w:val="20"/>
          <w:szCs w:val="20"/>
        </w:rPr>
        <w:t xml:space="preserve">муниципального </w:t>
      </w:r>
    </w:p>
    <w:p w14:paraId="0000031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>
        <w:rPr>
          <w:sz w:val="20"/>
          <w:szCs w:val="20"/>
        </w:rPr>
        <w:t xml:space="preserve">к отопительному периоду </w:t>
      </w:r>
      <w:r>
        <w:rPr>
          <w:sz w:val="20"/>
          <w:szCs w:val="20"/>
        </w:rPr>
        <w:t>2024-2025 годов</w:t>
      </w:r>
      <w:r>
        <w:rPr>
          <w:sz w:val="20"/>
          <w:szCs w:val="20"/>
        </w:rPr>
        <w:t>.</w:t>
      </w:r>
    </w:p>
    <w:p w14:paraId="0000031B">
      <w:pPr>
        <w:jc w:val="both"/>
        <w:rPr/>
      </w:pPr>
    </w:p>
    <w:p w14:paraId="0000031C">
      <w:pPr>
        <w:jc w:val="both"/>
        <w:rPr/>
      </w:pPr>
    </w:p>
    <w:p w14:paraId="0000031D">
      <w:pPr>
        <w:jc w:val="both"/>
        <w:rPr/>
      </w:pPr>
    </w:p>
    <w:p w14:paraId="0000031E">
      <w:pPr>
        <w:jc w:val="center"/>
        <w:rPr>
          <w:b/>
        </w:rPr>
      </w:pPr>
      <w:r>
        <w:rPr>
          <w:b/>
        </w:rPr>
        <w:t>ПАСПОРТ</w:t>
      </w:r>
    </w:p>
    <w:p w14:paraId="0000031F">
      <w:pPr>
        <w:jc w:val="center"/>
        <w:rPr>
          <w:b/>
        </w:rPr>
      </w:pPr>
      <w:r>
        <w:rPr>
          <w:b/>
        </w:rPr>
        <w:t xml:space="preserve">готовности к отопительному периоду </w:t>
      </w:r>
      <w:r>
        <w:rPr>
          <w:b/>
        </w:rPr>
        <w:t>2024-2025 годов</w:t>
      </w:r>
    </w:p>
    <w:p w14:paraId="00000320">
      <w:pPr>
        <w:jc w:val="both"/>
        <w:rPr/>
      </w:pPr>
      <w:r>
        <w:t>Выдан_______________________________________________________________________,</w:t>
      </w:r>
    </w:p>
    <w:p w14:paraId="00000321">
      <w:pPr>
        <w:jc w:val="center"/>
        <w:rPr>
          <w:sz w:val="20"/>
          <w:szCs w:val="20"/>
        </w:rPr>
      </w:pPr>
      <w:r>
        <w:rPr>
          <w:sz w:val="20"/>
          <w:szCs w:val="20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14:paraId="00000322">
      <w:pPr>
        <w:jc w:val="both"/>
        <w:rPr/>
      </w:pPr>
      <w:r>
        <w:t>В  отношении</w:t>
      </w:r>
      <w:r>
        <w:t>следующих объектов, по которым проводилась проверка готовности</w:t>
      </w:r>
      <w:r>
        <w:t xml:space="preserve"> </w:t>
      </w:r>
      <w:r>
        <w:t>к</w:t>
      </w:r>
      <w:r>
        <w:t xml:space="preserve"> </w:t>
      </w:r>
    </w:p>
    <w:p w14:paraId="00000323">
      <w:pPr>
        <w:jc w:val="both"/>
        <w:rPr/>
      </w:pPr>
      <w:r>
        <w:t>отопительному периоду:</w:t>
      </w:r>
    </w:p>
    <w:p w14:paraId="00000324">
      <w:pPr>
        <w:jc w:val="both"/>
        <w:rPr/>
      </w:pPr>
      <w:r>
        <w:t>1._______________________;</w:t>
      </w:r>
    </w:p>
    <w:p w14:paraId="00000325">
      <w:pPr>
        <w:jc w:val="both"/>
        <w:rPr/>
      </w:pPr>
      <w:r>
        <w:t>2._______________________;</w:t>
      </w:r>
    </w:p>
    <w:p w14:paraId="00000326">
      <w:pPr>
        <w:jc w:val="both"/>
        <w:rPr/>
      </w:pPr>
      <w:r>
        <w:t>3._______________________;</w:t>
      </w:r>
    </w:p>
    <w:p w14:paraId="00000327">
      <w:pPr>
        <w:jc w:val="both"/>
        <w:rPr/>
      </w:pPr>
    </w:p>
    <w:p w14:paraId="00000328">
      <w:pPr>
        <w:jc w:val="both"/>
        <w:rPr/>
      </w:pPr>
      <w:r>
        <w:t>Основание выдачи паспорта готовности к отопительному периоду:</w:t>
      </w:r>
    </w:p>
    <w:p w14:paraId="00000329">
      <w:pPr>
        <w:jc w:val="both"/>
        <w:rPr/>
      </w:pPr>
      <w:r>
        <w:t xml:space="preserve">Акт проверки готовности к отопительному периоду от __________ </w:t>
      </w:r>
      <w:r>
        <w:t>№</w:t>
      </w:r>
      <w:r>
        <w:t>_________.</w:t>
      </w:r>
    </w:p>
    <w:p w14:paraId="0000032A">
      <w:pPr>
        <w:jc w:val="both"/>
        <w:rPr/>
      </w:pPr>
      <w:r>
        <w:t>_______________________/_________________________</w:t>
      </w:r>
    </w:p>
    <w:p w14:paraId="0000032B">
      <w:pPr>
        <w:rPr>
          <w:sz w:val="20"/>
          <w:szCs w:val="20"/>
        </w:rPr>
      </w:pPr>
      <w:r>
        <w:rPr>
          <w:sz w:val="20"/>
          <w:szCs w:val="20"/>
        </w:rPr>
        <w:t xml:space="preserve">(подпись, расшифровка подписи и печать  органа, образовавшего комиссию по проведению проверки готовности котопительному периоду) </w:t>
      </w:r>
    </w:p>
    <w:p w14:paraId="0000032C">
      <w:pPr>
        <w:jc w:val="both"/>
        <w:rPr>
          <w:sz w:val="20"/>
          <w:szCs w:val="20"/>
        </w:rPr>
      </w:pPr>
    </w:p>
    <w:p w14:paraId="0000032D">
      <w:pPr>
        <w:jc w:val="both"/>
        <w:rPr>
          <w:sz w:val="20"/>
          <w:szCs w:val="20"/>
        </w:rPr>
      </w:pPr>
    </w:p>
    <w:p w14:paraId="0000032E">
      <w:pPr>
        <w:jc w:val="both"/>
        <w:rPr>
          <w:sz w:val="20"/>
          <w:szCs w:val="20"/>
        </w:rPr>
      </w:pPr>
    </w:p>
    <w:p w14:paraId="0000032F">
      <w:pPr>
        <w:jc w:val="both"/>
        <w:rPr>
          <w:sz w:val="20"/>
          <w:szCs w:val="20"/>
        </w:rPr>
      </w:pPr>
    </w:p>
    <w:p w14:paraId="00000330">
      <w:pPr>
        <w:jc w:val="both"/>
        <w:rPr/>
      </w:pPr>
    </w:p>
    <w:p w14:paraId="00000331">
      <w:pPr>
        <w:jc w:val="both"/>
        <w:rPr/>
      </w:pPr>
    </w:p>
    <w:p w14:paraId="00000332">
      <w:pPr>
        <w:jc w:val="both"/>
        <w:rPr/>
      </w:pPr>
    </w:p>
    <w:p w14:paraId="00000333">
      <w:pPr>
        <w:jc w:val="both"/>
        <w:rPr/>
      </w:pPr>
    </w:p>
    <w:p w14:paraId="00000334">
      <w:pPr>
        <w:jc w:val="both"/>
        <w:rPr/>
      </w:pPr>
    </w:p>
    <w:p w14:paraId="00000335">
      <w:pPr>
        <w:jc w:val="both"/>
        <w:rPr/>
      </w:pPr>
    </w:p>
    <w:p w14:paraId="00000336">
      <w:pPr>
        <w:jc w:val="both"/>
        <w:rPr/>
      </w:pPr>
    </w:p>
    <w:p w14:paraId="00000337">
      <w:pPr>
        <w:jc w:val="both"/>
        <w:rPr/>
      </w:pPr>
    </w:p>
    <w:p w14:paraId="00000338">
      <w:pPr>
        <w:jc w:val="both"/>
        <w:rPr/>
      </w:pPr>
    </w:p>
    <w:p w14:paraId="00000339">
      <w:pPr>
        <w:jc w:val="both"/>
        <w:rPr/>
      </w:pPr>
    </w:p>
    <w:p w14:paraId="0000033A">
      <w:pPr>
        <w:jc w:val="both"/>
        <w:rPr/>
      </w:pPr>
    </w:p>
    <w:p w14:paraId="0000033B">
      <w:pPr>
        <w:jc w:val="both"/>
        <w:rPr/>
      </w:pPr>
    </w:p>
    <w:p w14:paraId="0000033C">
      <w:pPr>
        <w:jc w:val="both"/>
        <w:rPr/>
      </w:pPr>
    </w:p>
    <w:p w14:paraId="0000033D">
      <w:pPr>
        <w:jc w:val="both"/>
        <w:rPr/>
      </w:pPr>
    </w:p>
    <w:p w14:paraId="0000033E">
      <w:pPr>
        <w:jc w:val="both"/>
        <w:rPr/>
      </w:pPr>
    </w:p>
    <w:p w14:paraId="0000033F">
      <w:pPr>
        <w:jc w:val="both"/>
        <w:rPr/>
      </w:pPr>
    </w:p>
    <w:p w14:paraId="00000340">
      <w:pPr>
        <w:jc w:val="both"/>
        <w:rPr/>
      </w:pPr>
    </w:p>
    <w:p w14:paraId="00000341">
      <w:pPr>
        <w:jc w:val="both"/>
        <w:rPr/>
      </w:pPr>
    </w:p>
    <w:p w14:paraId="00000342">
      <w:pPr>
        <w:jc w:val="both"/>
        <w:rPr/>
      </w:pPr>
    </w:p>
    <w:p w14:paraId="00000343">
      <w:pPr>
        <w:jc w:val="both"/>
        <w:rPr/>
      </w:pPr>
    </w:p>
    <w:p w14:paraId="00000344">
      <w:pPr>
        <w:jc w:val="both"/>
        <w:rPr/>
      </w:pPr>
    </w:p>
    <w:p w14:paraId="00000345">
      <w:pPr>
        <w:jc w:val="both"/>
        <w:rPr/>
      </w:pPr>
    </w:p>
    <w:p w14:paraId="00000346">
      <w:pPr>
        <w:jc w:val="both"/>
        <w:rPr/>
      </w:pPr>
    </w:p>
    <w:p w14:paraId="00000347">
      <w:pPr>
        <w:jc w:val="both"/>
        <w:rPr/>
      </w:pPr>
    </w:p>
    <w:p w14:paraId="00000348">
      <w:pPr>
        <w:jc w:val="both"/>
        <w:rPr/>
      </w:pPr>
    </w:p>
    <w:p w14:paraId="00000349">
      <w:pPr>
        <w:jc w:val="both"/>
        <w:rPr/>
      </w:pPr>
    </w:p>
    <w:p w14:paraId="0000034A">
      <w:pPr>
        <w:jc w:val="both"/>
        <w:rPr/>
      </w:pPr>
    </w:p>
    <w:p w14:paraId="0000034B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</w:t>
      </w:r>
      <w:r>
        <w:rPr>
          <w:sz w:val="20"/>
          <w:szCs w:val="20"/>
        </w:rPr>
        <w:t>3</w:t>
      </w:r>
    </w:p>
    <w:p w14:paraId="0000034C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>
        <w:rPr>
          <w:sz w:val="20"/>
          <w:szCs w:val="20"/>
        </w:rPr>
        <w:t xml:space="preserve"> проведения  проверки готовности </w:t>
      </w:r>
      <w:r>
        <w:rPr>
          <w:sz w:val="20"/>
          <w:szCs w:val="20"/>
        </w:rPr>
        <w:t xml:space="preserve">Портбайкальского </w:t>
      </w:r>
      <w:r>
        <w:rPr>
          <w:sz w:val="20"/>
          <w:szCs w:val="20"/>
        </w:rPr>
        <w:t xml:space="preserve">муниципального </w:t>
      </w:r>
    </w:p>
    <w:p w14:paraId="0000034D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>
        <w:rPr>
          <w:sz w:val="20"/>
          <w:szCs w:val="20"/>
        </w:rPr>
        <w:t xml:space="preserve">к отопительному периоду </w:t>
      </w:r>
      <w:r>
        <w:rPr>
          <w:sz w:val="20"/>
          <w:szCs w:val="20"/>
        </w:rPr>
        <w:t>2024-2025 годов</w:t>
      </w:r>
      <w:r>
        <w:rPr>
          <w:sz w:val="20"/>
          <w:szCs w:val="20"/>
        </w:rPr>
        <w:t>.</w:t>
      </w:r>
    </w:p>
    <w:p w14:paraId="0000034E">
      <w:pPr>
        <w:jc w:val="both"/>
        <w:rPr/>
      </w:pPr>
    </w:p>
    <w:p w14:paraId="0000034F">
      <w:pPr>
        <w:jc w:val="center"/>
        <w:rPr>
          <w:b/>
        </w:rPr>
      </w:pPr>
      <w:r>
        <w:rPr>
          <w:b/>
        </w:rPr>
        <w:t xml:space="preserve">Требования по готовности к отопительному периоду </w:t>
      </w:r>
    </w:p>
    <w:p w14:paraId="00000350">
      <w:pPr>
        <w:jc w:val="center"/>
        <w:rPr>
          <w:b/>
        </w:rPr>
      </w:pPr>
      <w:r>
        <w:rPr>
          <w:b/>
        </w:rPr>
        <w:t>для теплоснабжающей</w:t>
      </w:r>
      <w:r>
        <w:rPr>
          <w:b/>
        </w:rPr>
        <w:t xml:space="preserve"> организаций</w:t>
      </w:r>
      <w:r>
        <w:rPr>
          <w:b/>
        </w:rPr>
        <w:t>.</w:t>
      </w:r>
    </w:p>
    <w:p w14:paraId="00000351">
      <w:pPr>
        <w:jc w:val="center"/>
        <w:rPr>
          <w:b/>
        </w:rPr>
      </w:pPr>
    </w:p>
    <w:p w14:paraId="00000352">
      <w:pPr>
        <w:ind w:firstLine="567"/>
        <w:jc w:val="both"/>
        <w:rPr/>
      </w:pPr>
      <w:r>
        <w:t>В целях о</w:t>
      </w:r>
      <w:r>
        <w:t xml:space="preserve">ценки готовности теплоснабжающей </w:t>
      </w:r>
      <w:r>
        <w:t xml:space="preserve"> </w:t>
      </w:r>
      <w:r>
        <w:t>орга</w:t>
      </w:r>
      <w:r>
        <w:t>низации</w:t>
      </w:r>
      <w:r>
        <w:t xml:space="preserve"> к отопительному периоду уполномоченным органом должны быть проверены в отношении</w:t>
      </w:r>
      <w:r>
        <w:t xml:space="preserve"> данной</w:t>
      </w:r>
      <w:r>
        <w:t xml:space="preserve"> организаций:</w:t>
      </w:r>
    </w:p>
    <w:p w14:paraId="00000353">
      <w:pPr>
        <w:ind w:firstLine="567"/>
        <w:jc w:val="both"/>
        <w:rPr/>
      </w:pPr>
      <w:r>
        <w:t>1) наличие соглашения об управлении системой теплоснабжения, заключенного</w:t>
      </w:r>
      <w:r>
        <w:t xml:space="preserve"> в порядке, установленном Законом о теплоснабжении;</w:t>
      </w:r>
    </w:p>
    <w:p w14:paraId="00000354">
      <w:pPr>
        <w:ind w:firstLine="567"/>
        <w:jc w:val="both"/>
        <w:rPr/>
      </w:pPr>
      <w:r>
        <w:t xml:space="preserve">2) </w:t>
      </w:r>
      <w:r>
        <w:t>готовно</w:t>
      </w:r>
      <w:r>
        <w:t>сть к выполнению графика тепловых нагрузок, поддержанию</w:t>
      </w:r>
      <w:r>
        <w:t xml:space="preserve"> </w:t>
      </w:r>
      <w:r>
        <w:t>температурного графика, утвержденного схемой теплоснабжения;</w:t>
      </w:r>
    </w:p>
    <w:p w14:paraId="00000355">
      <w:pPr>
        <w:ind w:firstLine="567"/>
        <w:jc w:val="both"/>
        <w:rPr/>
      </w:pPr>
      <w:r>
        <w:t>3) соблюдение критериев надежности теплоснабжения, установленных техническими регламентами;</w:t>
      </w:r>
    </w:p>
    <w:p w14:paraId="00000356">
      <w:pPr>
        <w:ind w:firstLine="567"/>
        <w:jc w:val="both"/>
        <w:rPr/>
      </w:pPr>
      <w:r>
        <w:t>4) наличие нормативных запасов топлива на источниках тепловой энергии;</w:t>
      </w:r>
    </w:p>
    <w:p w14:paraId="00000357">
      <w:pPr>
        <w:ind w:firstLine="567"/>
        <w:jc w:val="both"/>
        <w:rPr/>
      </w:pPr>
      <w:r>
        <w:t>5) функционирование эксплуатационной, диспетчерской и аварийной служб,</w:t>
      </w:r>
      <w:r>
        <w:t xml:space="preserve"> а именно:</w:t>
      </w:r>
    </w:p>
    <w:p w14:paraId="00000358">
      <w:pPr>
        <w:ind w:firstLine="567"/>
        <w:jc w:val="both"/>
        <w:rPr/>
      </w:pPr>
      <w:r>
        <w:t xml:space="preserve">- </w:t>
      </w:r>
      <w:r>
        <w:t>укомплектованность указанных служб персоналом;</w:t>
      </w:r>
    </w:p>
    <w:p w14:paraId="00000359">
      <w:pPr>
        <w:ind w:firstLine="567"/>
        <w:jc w:val="both"/>
        <w:rPr/>
      </w:pPr>
      <w:r>
        <w:t xml:space="preserve">- </w:t>
      </w:r>
      <w:r>
        <w:t>обеспеченность</w:t>
      </w:r>
      <w:r>
        <w:t xml:space="preserve"> персонала</w:t>
      </w:r>
      <w:r>
        <w:t xml:space="preserve"> средствами индивидуальной и</w:t>
      </w:r>
      <w:r>
        <w:t xml:space="preserve"> коллективной защиты, спецодеждой, инструментами и необходимой для производства работ оснасткой,</w:t>
      </w:r>
      <w:r>
        <w:t>нормативно-технической и оперативной документацией,</w:t>
      </w:r>
      <w:r>
        <w:t xml:space="preserve"> инструкциями, схемами,первичными средствами пожаротушения;</w:t>
      </w:r>
    </w:p>
    <w:p w14:paraId="0000035A">
      <w:pPr>
        <w:ind w:firstLine="567"/>
        <w:jc w:val="both"/>
        <w:rPr/>
      </w:pPr>
      <w:r>
        <w:t>6) проведение наладки принадлежащих им тепловых сетей;</w:t>
      </w:r>
    </w:p>
    <w:p w14:paraId="0000035B">
      <w:pPr>
        <w:ind w:firstLine="567"/>
        <w:jc w:val="both"/>
        <w:rPr/>
      </w:pPr>
      <w:r>
        <w:t>7) организация контроля режимов потребления тепловой энергии;</w:t>
      </w:r>
    </w:p>
    <w:p w14:paraId="0000035C">
      <w:pPr>
        <w:ind w:firstLine="567"/>
        <w:jc w:val="both"/>
        <w:rPr/>
      </w:pPr>
      <w:r>
        <w:t>8) обеспечение качества теплоносителей;</w:t>
      </w:r>
    </w:p>
    <w:p w14:paraId="0000035D">
      <w:pPr>
        <w:ind w:firstLine="567"/>
        <w:jc w:val="both"/>
        <w:rPr/>
      </w:pPr>
      <w:r>
        <w:t>9</w:t>
      </w:r>
      <w:r>
        <w:t>) обеспечение проверки качества строительства прин</w:t>
      </w:r>
      <w:r>
        <w:t>адлежащих им тепловых сетей, в том</w:t>
      </w:r>
      <w:r>
        <w:t xml:space="preserve"> ч</w:t>
      </w:r>
      <w:r>
        <w:t>исле предоставление гарантий на работы и материалы, применяемые</w:t>
      </w:r>
      <w:r>
        <w:t xml:space="preserve"> при строительстве, в соответствии с Законом о теплоснабжении;</w:t>
      </w:r>
    </w:p>
    <w:p w14:paraId="0000035E">
      <w:pPr>
        <w:ind w:firstLine="567"/>
        <w:jc w:val="both"/>
        <w:rPr/>
      </w:pPr>
      <w:r>
        <w:t>1</w:t>
      </w:r>
      <w:r>
        <w:t>0</w:t>
      </w:r>
      <w:r>
        <w:t>) обеспечение безаварийной работы объектов теплоснабжения и</w:t>
      </w:r>
      <w:r>
        <w:t xml:space="preserve"> надежного теплоснабжения потребителей тепловой энергии, а именно:</w:t>
      </w:r>
    </w:p>
    <w:p w14:paraId="0000035F">
      <w:pPr>
        <w:ind w:firstLine="567"/>
        <w:jc w:val="both"/>
        <w:rPr/>
      </w:pPr>
      <w:r>
        <w:t xml:space="preserve">- </w:t>
      </w:r>
      <w:r>
        <w:t>готовность систем приема и разгрузки топлива, топливо</w:t>
      </w:r>
      <w:r>
        <w:t xml:space="preserve"> </w:t>
      </w:r>
      <w:r>
        <w:t>приготовления</w:t>
      </w:r>
      <w:r>
        <w:t xml:space="preserve"> </w:t>
      </w:r>
      <w:r>
        <w:t>и топливоподачи;</w:t>
      </w:r>
    </w:p>
    <w:p w14:paraId="00000360">
      <w:pPr>
        <w:ind w:firstLine="567"/>
        <w:jc w:val="both"/>
        <w:rPr/>
      </w:pPr>
      <w:r>
        <w:t xml:space="preserve">- </w:t>
      </w:r>
      <w:r>
        <w:t>соблюдение водно-химического режима;</w:t>
      </w:r>
    </w:p>
    <w:p w14:paraId="00000361">
      <w:pPr>
        <w:ind w:firstLine="567"/>
        <w:jc w:val="both"/>
        <w:rPr/>
      </w:pPr>
      <w:r>
        <w:t xml:space="preserve">- </w:t>
      </w:r>
      <w:r>
        <w:t xml:space="preserve">отсутствие фактов эксплуатации теплоэнергетического оборудования сверх ресурса без проведения </w:t>
      </w:r>
      <w:r>
        <w:t>соответ</w:t>
      </w:r>
      <w:r>
        <w:t xml:space="preserve">ствующих организационно-технических мероприятий </w:t>
      </w:r>
      <w:r>
        <w:t>по продлению срока его эксплуатации;</w:t>
      </w:r>
    </w:p>
    <w:p w14:paraId="00000362">
      <w:pPr>
        <w:ind w:firstLine="567"/>
        <w:jc w:val="both"/>
        <w:rPr/>
      </w:pPr>
      <w:r>
        <w:t xml:space="preserve">- </w:t>
      </w:r>
      <w:r>
        <w:t>наличие утвержденных графиков ограничения теплоснабжения при</w:t>
      </w:r>
      <w:r>
        <w:t xml:space="preserve"> дефиците тепловой мощности тепловых источников и пропускной способности тепловых сетей;</w:t>
      </w:r>
    </w:p>
    <w:p w14:paraId="00000363">
      <w:pPr>
        <w:ind w:firstLine="567"/>
        <w:jc w:val="both"/>
        <w:rPr/>
      </w:pPr>
      <w:r>
        <w:t xml:space="preserve">- </w:t>
      </w:r>
      <w:r>
        <w:t>наличие</w:t>
      </w:r>
      <w:r>
        <w:t xml:space="preserve"> </w:t>
      </w:r>
      <w:r>
        <w:t xml:space="preserve">расчетов допустимого времени устранения аварийных </w:t>
      </w:r>
      <w:r>
        <w:t>нарушений теплоснабжения жилых домов</w:t>
      </w:r>
      <w:r>
        <w:t>;</w:t>
      </w:r>
    </w:p>
    <w:p w14:paraId="00000364">
      <w:pPr>
        <w:ind w:firstLine="567"/>
        <w:jc w:val="both"/>
        <w:rPr/>
      </w:pPr>
      <w:r>
        <w:t xml:space="preserve">- </w:t>
      </w:r>
      <w:r>
        <w:t>наличие порядка ликвидации аварийных ситуа</w:t>
      </w:r>
      <w:r>
        <w:t>ций в системах теплосна</w:t>
      </w:r>
      <w:r>
        <w:t>бжения с учетом взаимодействия</w:t>
      </w:r>
      <w:r>
        <w:t xml:space="preserve"> </w:t>
      </w:r>
      <w:r>
        <w:t>потребителей тепловой энергии, ремонтно-строительных и транспортных организаций,</w:t>
      </w:r>
      <w:r>
        <w:t xml:space="preserve"> а также органов местного самоуправления;</w:t>
      </w:r>
    </w:p>
    <w:p w14:paraId="00000365">
      <w:pPr>
        <w:ind w:firstLine="567"/>
        <w:jc w:val="both"/>
        <w:rPr/>
      </w:pPr>
      <w:r>
        <w:t xml:space="preserve">- </w:t>
      </w:r>
      <w:r>
        <w:t>проведение гидравлических и тепловых испытаний тепловых сетей;</w:t>
      </w:r>
    </w:p>
    <w:p w14:paraId="00000366">
      <w:pPr>
        <w:ind w:firstLine="567"/>
        <w:jc w:val="both"/>
        <w:rPr/>
      </w:pPr>
      <w:r>
        <w:t xml:space="preserve">- </w:t>
      </w:r>
      <w:r>
        <w:t>выполнение утвержденного плана подготовки к работе в отопите</w:t>
      </w:r>
      <w:r>
        <w:t>льный период, в который включено проведение необходимого технического освидетельствования</w:t>
      </w:r>
      <w:r>
        <w:t xml:space="preserve"> и диагностики оборудования, участвующего в обеспечении теплоснабжения;</w:t>
      </w:r>
    </w:p>
    <w:p w14:paraId="00000367">
      <w:pPr>
        <w:ind w:firstLine="567"/>
        <w:jc w:val="both"/>
        <w:rPr/>
      </w:pPr>
      <w:r>
        <w:t xml:space="preserve">- </w:t>
      </w:r>
      <w:r>
        <w:t>выполнение планового графика ремонта тепловых сетей и</w:t>
      </w:r>
      <w:r>
        <w:t xml:space="preserve"> источников тепловой энергии;</w:t>
      </w:r>
    </w:p>
    <w:p w14:paraId="00000368">
      <w:pPr>
        <w:ind w:firstLine="567"/>
        <w:jc w:val="both"/>
        <w:rPr/>
      </w:pPr>
      <w:r>
        <w:t xml:space="preserve">- </w:t>
      </w:r>
      <w:r>
        <w:t>наличие договоров поставки топлива, не допускающих перебоев поставки</w:t>
      </w:r>
      <w:r>
        <w:t xml:space="preserve"> и снижения установленных нормативов запасов топлива; </w:t>
      </w:r>
    </w:p>
    <w:p w14:paraId="00000369">
      <w:pPr>
        <w:ind w:firstLine="567"/>
        <w:jc w:val="both"/>
        <w:rPr/>
      </w:pPr>
      <w:r>
        <w:t>11</w:t>
      </w:r>
      <w:r>
        <w:t>) отсутствие не выполненных в установленные сроки предписаний, влияющих</w:t>
      </w:r>
      <w:r>
        <w:t xml:space="preserve">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14:paraId="0000036A">
      <w:pPr>
        <w:jc w:val="both"/>
        <w:rPr/>
      </w:pPr>
    </w:p>
    <w:p w14:paraId="0000036B">
      <w:pPr>
        <w:jc w:val="both"/>
        <w:rPr/>
      </w:pPr>
    </w:p>
    <w:p w14:paraId="0000036C">
      <w:pPr>
        <w:jc w:val="both"/>
        <w:rPr/>
      </w:pPr>
    </w:p>
    <w:p w14:paraId="0000036D">
      <w:pPr>
        <w:jc w:val="both"/>
        <w:rPr/>
      </w:pPr>
    </w:p>
    <w:p w14:paraId="0000036E">
      <w:pPr>
        <w:jc w:val="both"/>
        <w:rPr/>
      </w:pPr>
    </w:p>
    <w:p w14:paraId="0000036F">
      <w:pPr>
        <w:jc w:val="both"/>
        <w:rPr/>
      </w:pPr>
    </w:p>
    <w:p w14:paraId="00000370">
      <w:pPr>
        <w:jc w:val="both"/>
        <w:rPr/>
      </w:pPr>
    </w:p>
    <w:p w14:paraId="00000371">
      <w:pPr>
        <w:jc w:val="both"/>
        <w:rPr/>
      </w:pPr>
    </w:p>
    <w:p w14:paraId="00000372">
      <w:pPr>
        <w:jc w:val="both"/>
        <w:rPr/>
      </w:pPr>
    </w:p>
    <w:p w14:paraId="00000373">
      <w:pPr>
        <w:jc w:val="both"/>
        <w:rPr/>
      </w:pPr>
    </w:p>
    <w:p w14:paraId="00000374">
      <w:pPr>
        <w:jc w:val="both"/>
        <w:rPr/>
      </w:pPr>
    </w:p>
    <w:p w14:paraId="00000375">
      <w:pPr>
        <w:jc w:val="both"/>
        <w:rPr/>
      </w:pPr>
    </w:p>
    <w:p w14:paraId="00000376">
      <w:pPr>
        <w:jc w:val="both"/>
        <w:rPr/>
      </w:pPr>
    </w:p>
    <w:p w14:paraId="00000377">
      <w:pPr>
        <w:jc w:val="both"/>
        <w:rPr/>
      </w:pPr>
    </w:p>
    <w:p w14:paraId="00000378">
      <w:pPr>
        <w:jc w:val="both"/>
        <w:rPr/>
      </w:pPr>
    </w:p>
    <w:p w14:paraId="00000379">
      <w:pPr>
        <w:jc w:val="both"/>
        <w:rPr/>
      </w:pPr>
    </w:p>
    <w:p w14:paraId="0000037A">
      <w:pPr>
        <w:jc w:val="both"/>
        <w:rPr/>
      </w:pPr>
    </w:p>
    <w:p w14:paraId="0000037B">
      <w:pPr>
        <w:jc w:val="both"/>
        <w:rPr/>
      </w:pPr>
    </w:p>
    <w:p w14:paraId="0000037C">
      <w:pPr>
        <w:jc w:val="both"/>
        <w:rPr/>
      </w:pPr>
    </w:p>
    <w:p w14:paraId="0000037D">
      <w:pPr>
        <w:jc w:val="both"/>
        <w:rPr/>
      </w:pPr>
    </w:p>
    <w:p w14:paraId="0000037E">
      <w:pPr>
        <w:jc w:val="both"/>
        <w:rPr/>
      </w:pPr>
    </w:p>
    <w:p w14:paraId="0000037F">
      <w:pPr>
        <w:jc w:val="both"/>
        <w:rPr/>
      </w:pPr>
    </w:p>
    <w:p w14:paraId="00000380">
      <w:pPr>
        <w:jc w:val="both"/>
        <w:rPr/>
      </w:pPr>
    </w:p>
    <w:p w14:paraId="00000381">
      <w:pPr>
        <w:jc w:val="both"/>
        <w:rPr/>
      </w:pPr>
    </w:p>
    <w:p w14:paraId="00000382">
      <w:pPr>
        <w:jc w:val="both"/>
        <w:rPr/>
      </w:pPr>
    </w:p>
    <w:p w14:paraId="00000383">
      <w:pPr>
        <w:jc w:val="both"/>
        <w:rPr/>
      </w:pPr>
    </w:p>
    <w:p w14:paraId="00000384">
      <w:pPr>
        <w:jc w:val="both"/>
        <w:rPr/>
      </w:pPr>
    </w:p>
    <w:p w14:paraId="00000385">
      <w:pPr>
        <w:jc w:val="both"/>
        <w:rPr/>
      </w:pPr>
    </w:p>
    <w:p w14:paraId="00000386">
      <w:pPr>
        <w:jc w:val="both"/>
        <w:rPr/>
      </w:pPr>
    </w:p>
    <w:p w14:paraId="00000387">
      <w:pPr>
        <w:jc w:val="both"/>
        <w:rPr/>
      </w:pPr>
    </w:p>
    <w:p w14:paraId="00000388">
      <w:pPr>
        <w:jc w:val="both"/>
        <w:rPr/>
      </w:pPr>
    </w:p>
    <w:p w14:paraId="00000389">
      <w:pPr>
        <w:jc w:val="both"/>
        <w:rPr/>
      </w:pPr>
    </w:p>
    <w:p w14:paraId="0000038A">
      <w:pPr>
        <w:jc w:val="both"/>
        <w:rPr/>
      </w:pPr>
    </w:p>
    <w:p w14:paraId="0000038B">
      <w:pPr>
        <w:jc w:val="both"/>
        <w:rPr/>
      </w:pPr>
    </w:p>
    <w:p w14:paraId="0000038C">
      <w:pPr>
        <w:jc w:val="both"/>
        <w:rPr/>
      </w:pPr>
    </w:p>
    <w:p w14:paraId="0000038D">
      <w:pPr>
        <w:jc w:val="both"/>
        <w:rPr/>
      </w:pPr>
    </w:p>
    <w:p w14:paraId="0000038E">
      <w:pPr>
        <w:jc w:val="both"/>
        <w:rPr/>
      </w:pPr>
    </w:p>
    <w:p w14:paraId="0000038F">
      <w:pPr>
        <w:jc w:val="both"/>
        <w:rPr/>
      </w:pPr>
    </w:p>
    <w:p w14:paraId="00000390">
      <w:pPr>
        <w:jc w:val="both"/>
        <w:rPr/>
      </w:pPr>
    </w:p>
    <w:p w14:paraId="00000391">
      <w:pPr>
        <w:jc w:val="both"/>
        <w:rPr/>
      </w:pPr>
    </w:p>
    <w:p w14:paraId="00000392">
      <w:pPr>
        <w:jc w:val="both"/>
        <w:rPr/>
      </w:pPr>
    </w:p>
    <w:p w14:paraId="00000393">
      <w:pPr>
        <w:jc w:val="both"/>
        <w:rPr/>
      </w:pPr>
    </w:p>
    <w:p w14:paraId="00000394">
      <w:pPr>
        <w:jc w:val="both"/>
        <w:rPr/>
      </w:pPr>
    </w:p>
    <w:p w14:paraId="00000395">
      <w:pPr>
        <w:jc w:val="both"/>
        <w:rPr/>
      </w:pPr>
    </w:p>
    <w:p w14:paraId="00000396">
      <w:pPr>
        <w:jc w:val="both"/>
        <w:rPr/>
      </w:pPr>
    </w:p>
    <w:p w14:paraId="00000397">
      <w:pPr>
        <w:jc w:val="both"/>
        <w:rPr/>
      </w:pPr>
    </w:p>
    <w:p w14:paraId="00000398">
      <w:pPr>
        <w:jc w:val="both"/>
        <w:rPr/>
      </w:pPr>
    </w:p>
    <w:p w14:paraId="00000399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</w:t>
      </w:r>
      <w:r>
        <w:rPr>
          <w:sz w:val="20"/>
          <w:szCs w:val="20"/>
        </w:rPr>
        <w:t>4</w:t>
      </w:r>
    </w:p>
    <w:p w14:paraId="0000039A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>
        <w:rPr>
          <w:sz w:val="20"/>
          <w:szCs w:val="20"/>
        </w:rPr>
        <w:t xml:space="preserve"> проведения </w:t>
      </w:r>
      <w:r>
        <w:rPr>
          <w:sz w:val="20"/>
          <w:szCs w:val="20"/>
        </w:rPr>
        <w:t xml:space="preserve">проверки готовности </w:t>
      </w:r>
      <w:r>
        <w:rPr>
          <w:sz w:val="20"/>
          <w:szCs w:val="20"/>
        </w:rPr>
        <w:t xml:space="preserve">Портбайкальского </w:t>
      </w:r>
      <w:r>
        <w:rPr>
          <w:sz w:val="20"/>
          <w:szCs w:val="20"/>
        </w:rPr>
        <w:t xml:space="preserve">муниципального </w:t>
      </w:r>
    </w:p>
    <w:p w14:paraId="0000039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>
        <w:rPr>
          <w:sz w:val="20"/>
          <w:szCs w:val="20"/>
        </w:rPr>
        <w:t xml:space="preserve">к отопительному периоду </w:t>
      </w:r>
      <w:r>
        <w:rPr>
          <w:sz w:val="20"/>
          <w:szCs w:val="20"/>
        </w:rPr>
        <w:t>2024-2025 годов</w:t>
      </w:r>
      <w:r>
        <w:rPr>
          <w:sz w:val="20"/>
          <w:szCs w:val="20"/>
        </w:rPr>
        <w:t>.</w:t>
      </w:r>
    </w:p>
    <w:p w14:paraId="0000039C">
      <w:pPr>
        <w:jc w:val="both"/>
        <w:rPr/>
      </w:pPr>
    </w:p>
    <w:p w14:paraId="0000039D">
      <w:pPr>
        <w:jc w:val="both"/>
        <w:rPr/>
      </w:pPr>
    </w:p>
    <w:p w14:paraId="0000039E">
      <w:pPr>
        <w:ind w:firstLine="709"/>
        <w:jc w:val="center"/>
        <w:rPr>
          <w:b/>
        </w:rPr>
      </w:pPr>
      <w:r>
        <w:rPr>
          <w:b/>
        </w:rPr>
        <w:t>Требования по готовности к отопительному периоду</w:t>
      </w:r>
    </w:p>
    <w:p w14:paraId="0000039F">
      <w:pPr>
        <w:ind w:firstLine="709"/>
        <w:jc w:val="center"/>
        <w:rPr>
          <w:b/>
        </w:rPr>
      </w:pPr>
      <w:r>
        <w:rPr>
          <w:b/>
        </w:rPr>
        <w:t>для потребителей тепловой энергии</w:t>
      </w:r>
    </w:p>
    <w:p w14:paraId="000003A0">
      <w:pPr>
        <w:ind w:firstLine="709"/>
        <w:jc w:val="center"/>
        <w:rPr>
          <w:b/>
        </w:rPr>
      </w:pPr>
    </w:p>
    <w:p w14:paraId="000003A1">
      <w:pPr>
        <w:ind w:firstLine="567"/>
        <w:jc w:val="both"/>
        <w:rPr/>
      </w:pPr>
      <w: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14:paraId="000003A2">
      <w:pPr>
        <w:ind w:firstLine="567"/>
        <w:jc w:val="both"/>
        <w:rPr/>
      </w:pPr>
      <w:r>
        <w:t xml:space="preserve">1) устранение выявленных в порядке, </w:t>
      </w:r>
      <w:r>
        <w:t>установленном законода</w:t>
      </w:r>
      <w:r>
        <w:t>тельством Российской Федерации, нарушений в тепловых и гидравлических</w:t>
      </w:r>
      <w:r>
        <w:t xml:space="preserve"> ре</w:t>
      </w:r>
      <w:r>
        <w:t>жимах работы</w:t>
      </w:r>
      <w:r>
        <w:t xml:space="preserve"> тепловых энергоустановок;</w:t>
      </w:r>
    </w:p>
    <w:p w14:paraId="000003A3">
      <w:pPr>
        <w:ind w:firstLine="567"/>
        <w:jc w:val="both"/>
        <w:rPr/>
      </w:pPr>
      <w:r>
        <w:t>2) проведение промывки оборудования и коммуникаций</w:t>
      </w:r>
      <w:r>
        <w:t xml:space="preserve"> </w:t>
      </w:r>
      <w:r>
        <w:t>теплопотребляющих</w:t>
      </w:r>
      <w:r>
        <w:t xml:space="preserve"> установок;</w:t>
      </w:r>
    </w:p>
    <w:p w14:paraId="000003A4">
      <w:pPr>
        <w:ind w:firstLine="567"/>
        <w:jc w:val="both"/>
        <w:rPr/>
      </w:pPr>
      <w:r>
        <w:t>3) разработка эксплуатационных режимов, а также мероприятий по их внедрению;</w:t>
      </w:r>
    </w:p>
    <w:p w14:paraId="000003A5">
      <w:pPr>
        <w:ind w:firstLine="567"/>
        <w:jc w:val="both"/>
        <w:rPr/>
      </w:pPr>
      <w:r>
        <w:t>4) выполнение плана ремонтных работ и качество их выполнения;</w:t>
      </w:r>
    </w:p>
    <w:p w14:paraId="000003A6">
      <w:pPr>
        <w:ind w:firstLine="567"/>
        <w:jc w:val="both"/>
        <w:rPr/>
      </w:pPr>
      <w:r>
        <w:t>5) состояние тепловых сетей, принадлежащих потребителю тепловой энергии;</w:t>
      </w:r>
    </w:p>
    <w:p w14:paraId="000003A7">
      <w:pPr>
        <w:ind w:firstLine="567"/>
        <w:jc w:val="both"/>
        <w:rPr/>
      </w:pPr>
      <w:r>
        <w:t xml:space="preserve">6) состояние утепления зданий (чердаки, лестничные клетки, подвалы, двери) </w:t>
      </w:r>
      <w:r>
        <w:t>и центральных тепловых пунктов, а также индивидуальных тепловых пунктов;</w:t>
      </w:r>
    </w:p>
    <w:p w14:paraId="000003A8">
      <w:pPr>
        <w:ind w:firstLine="567"/>
        <w:jc w:val="both"/>
        <w:rPr/>
      </w:pPr>
      <w:r>
        <w:t>7) состояние</w:t>
      </w:r>
      <w:r>
        <w:t xml:space="preserve"> т</w:t>
      </w:r>
      <w:r>
        <w:t>рубопроводов, арматуры и тепловой изоляции в пределах</w:t>
      </w:r>
      <w:r>
        <w:t xml:space="preserve"> тепловых пунктов;</w:t>
      </w:r>
    </w:p>
    <w:p w14:paraId="000003A9">
      <w:pPr>
        <w:ind w:firstLine="567"/>
        <w:jc w:val="both"/>
        <w:rPr/>
      </w:pPr>
      <w:r>
        <w:t>8) наличие и работоспособность приборов учета, работоспособность автоматических регуляторов при их наличии;</w:t>
      </w:r>
    </w:p>
    <w:p w14:paraId="000003AA">
      <w:pPr>
        <w:ind w:firstLine="567"/>
        <w:jc w:val="both"/>
        <w:rPr/>
      </w:pPr>
      <w:r>
        <w:t>9) работоспособность защиты систем теплопотребления;</w:t>
      </w:r>
    </w:p>
    <w:p w14:paraId="000003AB">
      <w:pPr>
        <w:ind w:firstLine="567"/>
        <w:jc w:val="both"/>
        <w:rPr/>
      </w:pPr>
      <w:r>
        <w:t xml:space="preserve">16) проведение испытания оборудования </w:t>
      </w:r>
      <w:r>
        <w:t>теплопотребляющих</w:t>
      </w:r>
      <w:r>
        <w:t xml:space="preserve"> установок на плотность и прочность;</w:t>
      </w:r>
    </w:p>
    <w:p w14:paraId="000003AC">
      <w:pPr>
        <w:ind w:firstLine="567"/>
        <w:jc w:val="both"/>
        <w:rPr/>
      </w:pPr>
      <w:r>
        <w:t>17) надежность теплоснабжения потребителей</w:t>
      </w:r>
      <w:r>
        <w:t xml:space="preserve"> т</w:t>
      </w:r>
      <w:r>
        <w:t>епловой энергии с учетом климатических условий в соответствии с критериями, приведенными в</w:t>
      </w:r>
      <w:r>
        <w:t>Приложении №</w:t>
      </w:r>
      <w:r>
        <w:t>3</w:t>
      </w:r>
      <w:r>
        <w:t>приказа Министерства энергетики РФ от 12 марта 2013г. № 103 «Об утверждении</w:t>
      </w:r>
      <w:r>
        <w:t xml:space="preserve"> Правил оценки готовности к отопительному периоду».</w:t>
      </w:r>
    </w:p>
    <w:p w14:paraId="000003AD">
      <w:pPr>
        <w:ind w:firstLine="567"/>
        <w:jc w:val="both"/>
        <w:rPr/>
      </w:pPr>
    </w:p>
    <w:p w14:paraId="000003AE">
      <w:pPr>
        <w:ind w:firstLine="567"/>
        <w:jc w:val="both"/>
        <w:rPr/>
      </w:pPr>
    </w:p>
    <w:p w14:paraId="000003AF">
      <w:pPr>
        <w:ind w:firstLine="567"/>
        <w:jc w:val="both"/>
        <w:rPr/>
      </w:pPr>
    </w:p>
    <w:p w14:paraId="000003B0">
      <w:pPr>
        <w:ind w:firstLine="567"/>
        <w:jc w:val="both"/>
        <w:rPr/>
      </w:pPr>
    </w:p>
    <w:p w14:paraId="000003B1">
      <w:pPr>
        <w:ind w:firstLine="567"/>
        <w:jc w:val="both"/>
        <w:rPr/>
      </w:pPr>
    </w:p>
    <w:p w14:paraId="000003B2">
      <w:pPr>
        <w:ind w:firstLine="567"/>
        <w:jc w:val="both"/>
        <w:rPr/>
      </w:pPr>
    </w:p>
    <w:p w14:paraId="000003B3">
      <w:pPr>
        <w:ind w:firstLine="567"/>
        <w:jc w:val="both"/>
        <w:rPr/>
      </w:pPr>
    </w:p>
    <w:p w14:paraId="000003B4">
      <w:pPr>
        <w:ind w:firstLine="567"/>
        <w:jc w:val="both"/>
        <w:rPr/>
      </w:pPr>
    </w:p>
    <w:p w14:paraId="000003B5">
      <w:pPr>
        <w:ind w:firstLine="567"/>
        <w:jc w:val="both"/>
        <w:rPr/>
      </w:pPr>
    </w:p>
    <w:p w14:paraId="000003B6">
      <w:pPr>
        <w:ind w:firstLine="567"/>
        <w:jc w:val="both"/>
        <w:rPr/>
      </w:pPr>
    </w:p>
    <w:p w14:paraId="000003B7">
      <w:pPr>
        <w:ind w:firstLine="567"/>
        <w:jc w:val="both"/>
        <w:rPr/>
      </w:pPr>
    </w:p>
    <w:p w14:paraId="000003B8">
      <w:pPr>
        <w:ind w:firstLine="567"/>
        <w:jc w:val="both"/>
        <w:rPr/>
      </w:pPr>
    </w:p>
    <w:p w14:paraId="000003B9">
      <w:pPr>
        <w:jc w:val="both"/>
        <w:rPr/>
      </w:pPr>
    </w:p>
    <w:p w14:paraId="000003BA">
      <w:pPr>
        <w:jc w:val="both"/>
        <w:rPr/>
      </w:pPr>
    </w:p>
    <w:p w14:paraId="000003BB">
      <w:pPr>
        <w:jc w:val="both"/>
        <w:rPr/>
      </w:pPr>
    </w:p>
    <w:p w14:paraId="000003BC">
      <w:pPr>
        <w:jc w:val="both"/>
        <w:rPr/>
      </w:pPr>
    </w:p>
    <w:p w14:paraId="000003BD">
      <w:pPr>
        <w:jc w:val="both"/>
        <w:rPr/>
      </w:pPr>
    </w:p>
    <w:p w14:paraId="000003BE">
      <w:pPr>
        <w:jc w:val="right"/>
        <w:rPr>
          <w:sz w:val="26"/>
          <w:szCs w:val="26"/>
        </w:rPr>
      </w:pPr>
    </w:p>
    <w:sectPr>
      <w:pgSz w:w="11906" w:h="16838"/>
      <w:pgMar w:top="1134" w:right="851" w:bottom="1134" w:left="1701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multiLevelType w:val="hybridMultilevel"/>
    <w:lvl w:ilvl="0" w:tentative="0">
      <w:start w:val="1"/>
      <w:numFmt w:val="decimal"/>
      <w:lvlText w:val="%1."/>
      <w:lvlJc w:val="left"/>
      <w:pPr>
        <w:ind w:left="1287" w:hanging="360"/>
      </w:pPr>
    </w:lvl>
    <w:lvl w:ilvl="1" w:tentative="1">
      <w:start w:val="1"/>
      <w:numFmt w:val="lowerLetter"/>
      <w:lvlText w:val="%2."/>
      <w:lvlJc w:val="left"/>
      <w:pPr>
        <w:ind w:left="2007" w:hanging="360"/>
      </w:pPr>
    </w:lvl>
    <w:lvl w:ilvl="2" w:tentative="1">
      <w:start w:val="1"/>
      <w:numFmt w:val="lowerRoman"/>
      <w:lvlText w:val="%3."/>
      <w:lvlJc w:val="right"/>
      <w:pPr>
        <w:ind w:left="2727" w:hanging="180"/>
      </w:pPr>
    </w:lvl>
    <w:lvl w:ilvl="3" w:tentative="1">
      <w:start w:val="1"/>
      <w:numFmt w:val="decimal"/>
      <w:lvlText w:val="%4."/>
      <w:lvlJc w:val="left"/>
      <w:pPr>
        <w:ind w:left="3447" w:hanging="360"/>
      </w:pPr>
    </w:lvl>
    <w:lvl w:ilvl="4" w:tentative="1">
      <w:start w:val="1"/>
      <w:numFmt w:val="lowerLetter"/>
      <w:lvlText w:val="%5."/>
      <w:lvlJc w:val="left"/>
      <w:pPr>
        <w:ind w:left="4167" w:hanging="360"/>
      </w:pPr>
    </w:lvl>
    <w:lvl w:ilvl="5" w:tentative="1">
      <w:start w:val="1"/>
      <w:numFmt w:val="lowerRoman"/>
      <w:lvlText w:val="%6."/>
      <w:lvlJc w:val="right"/>
      <w:pPr>
        <w:ind w:left="4887" w:hanging="180"/>
      </w:pPr>
    </w:lvl>
    <w:lvl w:ilvl="6" w:tentative="1">
      <w:start w:val="1"/>
      <w:numFmt w:val="decimal"/>
      <w:lvlText w:val="%7."/>
      <w:lvlJc w:val="left"/>
      <w:pPr>
        <w:ind w:left="5607" w:hanging="360"/>
      </w:pPr>
    </w:lvl>
    <w:lvl w:ilvl="7" w:tentative="1">
      <w:start w:val="1"/>
      <w:numFmt w:val="lowerLetter"/>
      <w:lvlText w:val="%8."/>
      <w:lvlJc w:val="left"/>
      <w:pPr>
        <w:ind w:left="6327" w:hanging="360"/>
      </w:pPr>
    </w:lvl>
    <w:lvl w:ilvl="8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multiLevelType w:val="multilevel"/>
    <w:lvl w:ilvl="0" w:tentative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entative="0">
      <w:start w:val="1"/>
      <w:numFmt w:val="decimal"/>
      <w:isLgl w:val="on"/>
      <w:lvlText w:val="%1.%2"/>
      <w:lvlJc w:val="left"/>
      <w:pPr>
        <w:ind w:left="1095" w:hanging="375"/>
      </w:pPr>
      <w:rPr>
        <w:rFonts w:hint="default"/>
      </w:rPr>
    </w:lvl>
    <w:lvl w:ilvl="2" w:tentative="0">
      <w:start w:val="1"/>
      <w:numFmt w:val="decimal"/>
      <w:isLgl w:val="on"/>
      <w:lvlText w:val="%1.%2.%3"/>
      <w:lvlJc w:val="left"/>
      <w:pPr>
        <w:ind w:left="1800" w:hanging="720"/>
      </w:pPr>
      <w:rPr>
        <w:rFonts w:hint="default"/>
      </w:rPr>
    </w:lvl>
    <w:lvl w:ilvl="3" w:tentative="0">
      <w:start w:val="1"/>
      <w:numFmt w:val="decimal"/>
      <w:isLgl w:val="on"/>
      <w:lvlText w:val="%1.%2.%3.%4"/>
      <w:lvlJc w:val="left"/>
      <w:pPr>
        <w:ind w:left="2520" w:hanging="1080"/>
      </w:pPr>
      <w:rPr>
        <w:rFonts w:hint="default"/>
      </w:rPr>
    </w:lvl>
    <w:lvl w:ilvl="4" w:tentative="0">
      <w:start w:val="1"/>
      <w:numFmt w:val="decimal"/>
      <w:isLgl w:val="on"/>
      <w:lvlText w:val="%1.%2.%3.%4.%5"/>
      <w:lvlJc w:val="left"/>
      <w:pPr>
        <w:ind w:left="2880" w:hanging="1080"/>
      </w:pPr>
      <w:rPr>
        <w:rFonts w:hint="default"/>
      </w:rPr>
    </w:lvl>
    <w:lvl w:ilvl="5" w:tentative="0">
      <w:start w:val="1"/>
      <w:numFmt w:val="decimal"/>
      <w:isLgl w:val="on"/>
      <w:lvlText w:val="%1.%2.%3.%4.%5.%6"/>
      <w:lvlJc w:val="left"/>
      <w:pPr>
        <w:ind w:left="3600" w:hanging="1440"/>
      </w:pPr>
      <w:rPr>
        <w:rFonts w:hint="default"/>
      </w:rPr>
    </w:lvl>
    <w:lvl w:ilvl="6" w:tentative="0">
      <w:start w:val="1"/>
      <w:numFmt w:val="decimal"/>
      <w:isLgl w:val="on"/>
      <w:lvlText w:val="%1.%2.%3.%4.%5.%6.%7"/>
      <w:lvlJc w:val="left"/>
      <w:pPr>
        <w:ind w:left="3960" w:hanging="1440"/>
      </w:pPr>
      <w:rPr>
        <w:rFonts w:hint="default"/>
      </w:rPr>
    </w:lvl>
    <w:lvl w:ilvl="7" w:tentative="0">
      <w:start w:val="1"/>
      <w:numFmt w:val="decimal"/>
      <w:isLgl w:val="on"/>
      <w:lvlText w:val="%1.%2.%3.%4.%5.%6.%7.%8"/>
      <w:lvlJc w:val="left"/>
      <w:pPr>
        <w:ind w:left="4680" w:hanging="1800"/>
      </w:pPr>
      <w:rPr>
        <w:rFonts w:hint="default"/>
      </w:rPr>
    </w:lvl>
    <w:lvl w:ilvl="8" w:tentative="0">
      <w:start w:val="1"/>
      <w:numFmt w:val="decimal"/>
      <w:isLgl w:val="on"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multiLevelType w:val="hybridMultilevel"/>
    <w:lvl w:ilvl="0" w:tentative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48" w:hanging="360"/>
      </w:pPr>
    </w:lvl>
    <w:lvl w:ilvl="2" w:tentative="1">
      <w:start w:val="1"/>
      <w:numFmt w:val="lowerRoman"/>
      <w:lvlText w:val="%3."/>
      <w:lvlJc w:val="right"/>
      <w:pPr>
        <w:ind w:left="2368" w:hanging="180"/>
      </w:pPr>
    </w:lvl>
    <w:lvl w:ilvl="3" w:tentative="1">
      <w:start w:val="1"/>
      <w:numFmt w:val="decimal"/>
      <w:lvlText w:val="%4."/>
      <w:lvlJc w:val="left"/>
      <w:pPr>
        <w:ind w:left="3088" w:hanging="360"/>
      </w:pPr>
    </w:lvl>
    <w:lvl w:ilvl="4" w:tentative="1">
      <w:start w:val="1"/>
      <w:numFmt w:val="lowerLetter"/>
      <w:lvlText w:val="%5."/>
      <w:lvlJc w:val="left"/>
      <w:pPr>
        <w:ind w:left="3808" w:hanging="360"/>
      </w:pPr>
    </w:lvl>
    <w:lvl w:ilvl="5" w:tentative="1">
      <w:start w:val="1"/>
      <w:numFmt w:val="lowerRoman"/>
      <w:lvlText w:val="%6."/>
      <w:lvlJc w:val="right"/>
      <w:pPr>
        <w:ind w:left="4528" w:hanging="180"/>
      </w:pPr>
    </w:lvl>
    <w:lvl w:ilvl="6" w:tentative="1">
      <w:start w:val="1"/>
      <w:numFmt w:val="decimal"/>
      <w:lvlText w:val="%7."/>
      <w:lvlJc w:val="left"/>
      <w:pPr>
        <w:ind w:left="5248" w:hanging="360"/>
      </w:pPr>
    </w:lvl>
    <w:lvl w:ilvl="7" w:tentative="1">
      <w:start w:val="1"/>
      <w:numFmt w:val="lowerLetter"/>
      <w:lvlText w:val="%8."/>
      <w:lvlJc w:val="left"/>
      <w:pPr>
        <w:ind w:left="5968" w:hanging="360"/>
      </w:pPr>
    </w:lvl>
    <w:lvl w:ilvl="8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multiLevelType w:val="multilevel"/>
    <w:lvl w:ilvl="0" w:tentative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stylePaneFormatFilter w:val="3F01"/>
  <w:defaultTabStop w:val="709"/>
  <w:drawingGridHorizontalSpacing w:val="120"/>
  <w:displayHorizontalDrawingGridEvery w:val="2"/>
  <w:characterSpacingControl w:val="doNotCompress"/>
  <w:compat/>
  <w:rsids>
    <w:rsidRoot w:val="00265186"/>
    <w:rsid w:val="000016AD"/>
    <w:rsid w:val="00006BC0"/>
    <w:rsid w:val="00007247"/>
    <w:rsid w:val="00010AD9"/>
    <w:rsid w:val="000111E0"/>
    <w:rsid w:val="00016994"/>
    <w:rsid w:val="00027A74"/>
    <w:rsid w:val="00037F34"/>
    <w:rsid w:val="00040D57"/>
    <w:rsid w:val="0004168C"/>
    <w:rsid w:val="0004557B"/>
    <w:rsid w:val="00050F58"/>
    <w:rsid w:val="00084EB7"/>
    <w:rsid w:val="00090904"/>
    <w:rsid w:val="00093A93"/>
    <w:rsid w:val="00097792"/>
    <w:rsid w:val="000A2C9E"/>
    <w:rsid w:val="000A4129"/>
    <w:rsid w:val="000A4C71"/>
    <w:rsid w:val="000B10D4"/>
    <w:rsid w:val="000B519A"/>
    <w:rsid w:val="000D069F"/>
    <w:rsid w:val="000D2EFC"/>
    <w:rsid w:val="000D40BA"/>
    <w:rsid w:val="000D6830"/>
    <w:rsid w:val="000E2765"/>
    <w:rsid w:val="000E3125"/>
    <w:rsid w:val="000E4533"/>
    <w:rsid w:val="00101DEE"/>
    <w:rsid w:val="00117709"/>
    <w:rsid w:val="0012025D"/>
    <w:rsid w:val="0014723D"/>
    <w:rsid w:val="00150054"/>
    <w:rsid w:val="00152EAB"/>
    <w:rsid w:val="001562BC"/>
    <w:rsid w:val="00163721"/>
    <w:rsid w:val="00167D8F"/>
    <w:rsid w:val="00167E1B"/>
    <w:rsid w:val="001721B3"/>
    <w:rsid w:val="0017224E"/>
    <w:rsid w:val="00191FB6"/>
    <w:rsid w:val="00196D3A"/>
    <w:rsid w:val="001A4B20"/>
    <w:rsid w:val="001B25B0"/>
    <w:rsid w:val="001C0693"/>
    <w:rsid w:val="001C1371"/>
    <w:rsid w:val="001C5E37"/>
    <w:rsid w:val="001C7A41"/>
    <w:rsid w:val="001D5055"/>
    <w:rsid w:val="001E6CB5"/>
    <w:rsid w:val="001F1BE0"/>
    <w:rsid w:val="001F2A79"/>
    <w:rsid w:val="001F39E9"/>
    <w:rsid w:val="001F7179"/>
    <w:rsid w:val="00202649"/>
    <w:rsid w:val="00211071"/>
    <w:rsid w:val="00213A14"/>
    <w:rsid w:val="00214874"/>
    <w:rsid w:val="00223A1F"/>
    <w:rsid w:val="00223CB0"/>
    <w:rsid w:val="00224350"/>
    <w:rsid w:val="00233106"/>
    <w:rsid w:val="00237B80"/>
    <w:rsid w:val="00241793"/>
    <w:rsid w:val="00243986"/>
    <w:rsid w:val="00245A95"/>
    <w:rsid w:val="002472C2"/>
    <w:rsid w:val="00250492"/>
    <w:rsid w:val="00256196"/>
    <w:rsid w:val="002574CB"/>
    <w:rsid w:val="002575D0"/>
    <w:rsid w:val="00257600"/>
    <w:rsid w:val="00265186"/>
    <w:rsid w:val="002652E6"/>
    <w:rsid w:val="00274CB9"/>
    <w:rsid w:val="002769E6"/>
    <w:rsid w:val="00282255"/>
    <w:rsid w:val="00284CCE"/>
    <w:rsid w:val="00284F18"/>
    <w:rsid w:val="002926E6"/>
    <w:rsid w:val="00294078"/>
    <w:rsid w:val="0029561E"/>
    <w:rsid w:val="00296D48"/>
    <w:rsid w:val="002A34DB"/>
    <w:rsid w:val="002C32FE"/>
    <w:rsid w:val="002D54B5"/>
    <w:rsid w:val="002D5AF3"/>
    <w:rsid w:val="002F52E9"/>
    <w:rsid w:val="0030005E"/>
    <w:rsid w:val="00300E97"/>
    <w:rsid w:val="00323389"/>
    <w:rsid w:val="00325A74"/>
    <w:rsid w:val="003330C7"/>
    <w:rsid w:val="003456A8"/>
    <w:rsid w:val="00351F5C"/>
    <w:rsid w:val="003554D1"/>
    <w:rsid w:val="00355BAF"/>
    <w:rsid w:val="00356923"/>
    <w:rsid w:val="003612CC"/>
    <w:rsid w:val="003625EB"/>
    <w:rsid w:val="0036360A"/>
    <w:rsid w:val="00376C90"/>
    <w:rsid w:val="00380D0D"/>
    <w:rsid w:val="003827D3"/>
    <w:rsid w:val="003839A2"/>
    <w:rsid w:val="003971FF"/>
    <w:rsid w:val="003A0A44"/>
    <w:rsid w:val="003A1A29"/>
    <w:rsid w:val="003B1498"/>
    <w:rsid w:val="003B4D63"/>
    <w:rsid w:val="003C2FFE"/>
    <w:rsid w:val="003C3045"/>
    <w:rsid w:val="003D50A8"/>
    <w:rsid w:val="003E41BA"/>
    <w:rsid w:val="003E71BD"/>
    <w:rsid w:val="00402239"/>
    <w:rsid w:val="0040290E"/>
    <w:rsid w:val="00413112"/>
    <w:rsid w:val="00416DFD"/>
    <w:rsid w:val="00420134"/>
    <w:rsid w:val="00426FA6"/>
    <w:rsid w:val="00434D80"/>
    <w:rsid w:val="00435647"/>
    <w:rsid w:val="00440867"/>
    <w:rsid w:val="004533BF"/>
    <w:rsid w:val="00455BE8"/>
    <w:rsid w:val="0046381B"/>
    <w:rsid w:val="00474418"/>
    <w:rsid w:val="004764D6"/>
    <w:rsid w:val="00485422"/>
    <w:rsid w:val="004856BA"/>
    <w:rsid w:val="004864F4"/>
    <w:rsid w:val="00490026"/>
    <w:rsid w:val="0049204A"/>
    <w:rsid w:val="004A10D5"/>
    <w:rsid w:val="004A3E6B"/>
    <w:rsid w:val="004B417D"/>
    <w:rsid w:val="004C3D9D"/>
    <w:rsid w:val="004E1D35"/>
    <w:rsid w:val="004E1EA5"/>
    <w:rsid w:val="004F1F86"/>
    <w:rsid w:val="00501CE5"/>
    <w:rsid w:val="00506310"/>
    <w:rsid w:val="00512DAA"/>
    <w:rsid w:val="005239EE"/>
    <w:rsid w:val="00530560"/>
    <w:rsid w:val="00530E20"/>
    <w:rsid w:val="00531C29"/>
    <w:rsid w:val="00533725"/>
    <w:rsid w:val="00533F32"/>
    <w:rsid w:val="005345EE"/>
    <w:rsid w:val="005367FF"/>
    <w:rsid w:val="005645BB"/>
    <w:rsid w:val="005677DB"/>
    <w:rsid w:val="005737EE"/>
    <w:rsid w:val="00574788"/>
    <w:rsid w:val="00580E3A"/>
    <w:rsid w:val="00584F60"/>
    <w:rsid w:val="00585B83"/>
    <w:rsid w:val="0058624A"/>
    <w:rsid w:val="005952FA"/>
    <w:rsid w:val="005970CC"/>
    <w:rsid w:val="00597CBB"/>
    <w:rsid w:val="005A0B65"/>
    <w:rsid w:val="005A2C9D"/>
    <w:rsid w:val="005A568B"/>
    <w:rsid w:val="005B216B"/>
    <w:rsid w:val="005C3FF9"/>
    <w:rsid w:val="005E5AF9"/>
    <w:rsid w:val="005E6C2C"/>
    <w:rsid w:val="005F02D4"/>
    <w:rsid w:val="005F0F41"/>
    <w:rsid w:val="005F782C"/>
    <w:rsid w:val="005F7CD7"/>
    <w:rsid w:val="00602000"/>
    <w:rsid w:val="00603F38"/>
    <w:rsid w:val="00613293"/>
    <w:rsid w:val="00631D20"/>
    <w:rsid w:val="006338A8"/>
    <w:rsid w:val="00636D96"/>
    <w:rsid w:val="00647914"/>
    <w:rsid w:val="00650023"/>
    <w:rsid w:val="00656EA1"/>
    <w:rsid w:val="0066369A"/>
    <w:rsid w:val="00664519"/>
    <w:rsid w:val="0066607A"/>
    <w:rsid w:val="0066764D"/>
    <w:rsid w:val="006719E5"/>
    <w:rsid w:val="006736F1"/>
    <w:rsid w:val="00676707"/>
    <w:rsid w:val="00676ACD"/>
    <w:rsid w:val="00686002"/>
    <w:rsid w:val="00691BBC"/>
    <w:rsid w:val="006927C6"/>
    <w:rsid w:val="0069548D"/>
    <w:rsid w:val="00696205"/>
    <w:rsid w:val="00696C39"/>
    <w:rsid w:val="006A33F6"/>
    <w:rsid w:val="006A411F"/>
    <w:rsid w:val="006A50C4"/>
    <w:rsid w:val="006B6D6C"/>
    <w:rsid w:val="006C1E7E"/>
    <w:rsid w:val="006C287B"/>
    <w:rsid w:val="006D1CA1"/>
    <w:rsid w:val="006D61F5"/>
    <w:rsid w:val="006D7D3D"/>
    <w:rsid w:val="006E2028"/>
    <w:rsid w:val="006E2647"/>
    <w:rsid w:val="006F2EC7"/>
    <w:rsid w:val="00716D2E"/>
    <w:rsid w:val="00720699"/>
    <w:rsid w:val="007404C2"/>
    <w:rsid w:val="00746591"/>
    <w:rsid w:val="0075644A"/>
    <w:rsid w:val="00765C47"/>
    <w:rsid w:val="00784C8F"/>
    <w:rsid w:val="00791AB7"/>
    <w:rsid w:val="007932C8"/>
    <w:rsid w:val="007A551E"/>
    <w:rsid w:val="007B57D8"/>
    <w:rsid w:val="007B73AF"/>
    <w:rsid w:val="007C1D2F"/>
    <w:rsid w:val="007C2973"/>
    <w:rsid w:val="007D10ED"/>
    <w:rsid w:val="007D19C9"/>
    <w:rsid w:val="007D418C"/>
    <w:rsid w:val="007F130F"/>
    <w:rsid w:val="007F17A5"/>
    <w:rsid w:val="007F1CB2"/>
    <w:rsid w:val="007F27B4"/>
    <w:rsid w:val="007F40EB"/>
    <w:rsid w:val="00801DDF"/>
    <w:rsid w:val="0080321A"/>
    <w:rsid w:val="00810096"/>
    <w:rsid w:val="00815162"/>
    <w:rsid w:val="008157E0"/>
    <w:rsid w:val="00826149"/>
    <w:rsid w:val="00826217"/>
    <w:rsid w:val="00832BAE"/>
    <w:rsid w:val="008409FC"/>
    <w:rsid w:val="0085441F"/>
    <w:rsid w:val="00866EBE"/>
    <w:rsid w:val="00871D89"/>
    <w:rsid w:val="00874D1B"/>
    <w:rsid w:val="008A7E61"/>
    <w:rsid w:val="008B4BA5"/>
    <w:rsid w:val="008C3022"/>
    <w:rsid w:val="008C5076"/>
    <w:rsid w:val="008C5358"/>
    <w:rsid w:val="008D077C"/>
    <w:rsid w:val="008D17FA"/>
    <w:rsid w:val="008E20ED"/>
    <w:rsid w:val="0090046A"/>
    <w:rsid w:val="00902E5D"/>
    <w:rsid w:val="00912423"/>
    <w:rsid w:val="009164E9"/>
    <w:rsid w:val="00920D2D"/>
    <w:rsid w:val="009221E9"/>
    <w:rsid w:val="00923912"/>
    <w:rsid w:val="00923959"/>
    <w:rsid w:val="00923D82"/>
    <w:rsid w:val="00927384"/>
    <w:rsid w:val="00930833"/>
    <w:rsid w:val="00940822"/>
    <w:rsid w:val="009424AC"/>
    <w:rsid w:val="00945A1B"/>
    <w:rsid w:val="00953382"/>
    <w:rsid w:val="00961134"/>
    <w:rsid w:val="009635CF"/>
    <w:rsid w:val="00965EA1"/>
    <w:rsid w:val="009718ED"/>
    <w:rsid w:val="009733F0"/>
    <w:rsid w:val="00977ECD"/>
    <w:rsid w:val="00986B14"/>
    <w:rsid w:val="0099490B"/>
    <w:rsid w:val="009A088C"/>
    <w:rsid w:val="009A74CF"/>
    <w:rsid w:val="009B0ED8"/>
    <w:rsid w:val="009B11E5"/>
    <w:rsid w:val="009B4059"/>
    <w:rsid w:val="009E06D6"/>
    <w:rsid w:val="00A051D1"/>
    <w:rsid w:val="00A45BDB"/>
    <w:rsid w:val="00A501D4"/>
    <w:rsid w:val="00A71CE8"/>
    <w:rsid w:val="00A72A98"/>
    <w:rsid w:val="00A85D33"/>
    <w:rsid w:val="00A9053F"/>
    <w:rsid w:val="00AA3550"/>
    <w:rsid w:val="00AA4B15"/>
    <w:rsid w:val="00AC2676"/>
    <w:rsid w:val="00AC7152"/>
    <w:rsid w:val="00AD2FE6"/>
    <w:rsid w:val="00AD4651"/>
    <w:rsid w:val="00AE3DA3"/>
    <w:rsid w:val="00AF2F6A"/>
    <w:rsid w:val="00B00F0F"/>
    <w:rsid w:val="00B109DD"/>
    <w:rsid w:val="00B12304"/>
    <w:rsid w:val="00B13EC3"/>
    <w:rsid w:val="00B178AC"/>
    <w:rsid w:val="00B252B4"/>
    <w:rsid w:val="00B257E1"/>
    <w:rsid w:val="00B42331"/>
    <w:rsid w:val="00B56427"/>
    <w:rsid w:val="00B64EC3"/>
    <w:rsid w:val="00B857A8"/>
    <w:rsid w:val="00B8639C"/>
    <w:rsid w:val="00B867F0"/>
    <w:rsid w:val="00B907EA"/>
    <w:rsid w:val="00BA3938"/>
    <w:rsid w:val="00BA48EF"/>
    <w:rsid w:val="00BB1A82"/>
    <w:rsid w:val="00BB49C4"/>
    <w:rsid w:val="00BC0B6A"/>
    <w:rsid w:val="00BC7AE5"/>
    <w:rsid w:val="00BE22C7"/>
    <w:rsid w:val="00BE38B8"/>
    <w:rsid w:val="00BE43EE"/>
    <w:rsid w:val="00BF3A68"/>
    <w:rsid w:val="00C0519F"/>
    <w:rsid w:val="00C15E80"/>
    <w:rsid w:val="00C16136"/>
    <w:rsid w:val="00C266CD"/>
    <w:rsid w:val="00C36A7C"/>
    <w:rsid w:val="00C513F0"/>
    <w:rsid w:val="00C51909"/>
    <w:rsid w:val="00C539A1"/>
    <w:rsid w:val="00C55E1A"/>
    <w:rsid w:val="00C61223"/>
    <w:rsid w:val="00C61A9A"/>
    <w:rsid w:val="00C64E12"/>
    <w:rsid w:val="00C66A14"/>
    <w:rsid w:val="00C87E41"/>
    <w:rsid w:val="00C910B5"/>
    <w:rsid w:val="00C91158"/>
    <w:rsid w:val="00C91905"/>
    <w:rsid w:val="00C93B95"/>
    <w:rsid w:val="00CA7314"/>
    <w:rsid w:val="00CB0FE1"/>
    <w:rsid w:val="00CB7F15"/>
    <w:rsid w:val="00CC10DE"/>
    <w:rsid w:val="00CD1811"/>
    <w:rsid w:val="00CE0042"/>
    <w:rsid w:val="00CE6AA0"/>
    <w:rsid w:val="00CF04FF"/>
    <w:rsid w:val="00D219F2"/>
    <w:rsid w:val="00D374E5"/>
    <w:rsid w:val="00D42573"/>
    <w:rsid w:val="00D425E5"/>
    <w:rsid w:val="00D430DD"/>
    <w:rsid w:val="00D43AEF"/>
    <w:rsid w:val="00D508E3"/>
    <w:rsid w:val="00D51784"/>
    <w:rsid w:val="00D546F6"/>
    <w:rsid w:val="00D603EF"/>
    <w:rsid w:val="00D64110"/>
    <w:rsid w:val="00D851D7"/>
    <w:rsid w:val="00DA3CE5"/>
    <w:rsid w:val="00DB3FEA"/>
    <w:rsid w:val="00DC5493"/>
    <w:rsid w:val="00DC5DD0"/>
    <w:rsid w:val="00DD0472"/>
    <w:rsid w:val="00DE6635"/>
    <w:rsid w:val="00DE70FB"/>
    <w:rsid w:val="00DF0A4F"/>
    <w:rsid w:val="00DF151F"/>
    <w:rsid w:val="00DF25D0"/>
    <w:rsid w:val="00E068CA"/>
    <w:rsid w:val="00E103A4"/>
    <w:rsid w:val="00E530A4"/>
    <w:rsid w:val="00E7068D"/>
    <w:rsid w:val="00E86C72"/>
    <w:rsid w:val="00E93BEE"/>
    <w:rsid w:val="00EA5008"/>
    <w:rsid w:val="00EA65F5"/>
    <w:rsid w:val="00EC17D4"/>
    <w:rsid w:val="00ED163B"/>
    <w:rsid w:val="00EE39BD"/>
    <w:rsid w:val="00EE4F80"/>
    <w:rsid w:val="00EE5627"/>
    <w:rsid w:val="00EE57BF"/>
    <w:rsid w:val="00EE79AD"/>
    <w:rsid w:val="00EF11A9"/>
    <w:rsid w:val="00EF2E20"/>
    <w:rsid w:val="00F01C61"/>
    <w:rsid w:val="00F0315B"/>
    <w:rsid w:val="00F078C5"/>
    <w:rsid w:val="00F1224A"/>
    <w:rsid w:val="00F15A23"/>
    <w:rsid w:val="00F200FA"/>
    <w:rsid w:val="00F307A7"/>
    <w:rsid w:val="00F34D02"/>
    <w:rsid w:val="00F36404"/>
    <w:rsid w:val="00F402DB"/>
    <w:rsid w:val="00F46213"/>
    <w:rsid w:val="00F507AA"/>
    <w:rsid w:val="00F703C7"/>
    <w:rsid w:val="00F72BBE"/>
    <w:rsid w:val="00F8039C"/>
    <w:rsid w:val="00F86002"/>
    <w:rsid w:val="00F91749"/>
    <w:rsid w:val="00FA0DD2"/>
    <w:rsid w:val="00FB6175"/>
    <w:rsid w:val="00FB6F52"/>
    <w:rsid w:val="00FC35A7"/>
    <w:rsid w:val="00FD74A8"/>
    <w:rsid w:val="00FE6253"/>
    <w:rsid w:val="00FF0913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paragraph" w:styleId="Heading1">
    <w:name w:val="Heading 1"/>
    <w:basedOn w:val="Normal"/>
    <w:next w:val="Normal"/>
    <w:link w:val="Заголовок1Знак"/>
    <w:uiPriority w:val="99"/>
    <w:qFormat w:val="on"/>
    <w:pPr>
      <w:keepNext w:val="on"/>
      <w:tabs>
        <w:tab w:val="num" w:pos="720"/>
      </w:tabs>
      <w:ind w:left="720" w:hanging="360"/>
      <w:jc w:val="center"/>
    </w:pPr>
    <w:rPr>
      <w:sz w:val="28"/>
      <w:szCs w:val="20"/>
      <w:lang w:eastAsia="ar-SA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Заголовок1Знак">
    <w:name w:val="Заголовок 1 Знак"/>
    <w:basedOn w:val="DefaultParagraphFont"/>
    <w:link w:val="Heading1"/>
    <w:uiPriority w:val="99"/>
    <w:rPr>
      <w:sz w:val="28"/>
      <w:lang w:eastAsia="ar-SA"/>
    </w:rPr>
  </w:style>
  <w:style w:type="paragraph" w:styleId="BalloonText">
    <w:name w:val="Balloon Text"/>
    <w:basedOn w:val="Normal"/>
    <w:link w:val="ТекствыноскиЗнак"/>
    <w:uiPriority w:val="99"/>
    <w:semiHidden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  <w:style w:type="paragraph" w:styleId="DocumentMap">
    <w:name w:val="Document Map"/>
    <w:basedOn w:val="Normal"/>
    <w:uiPriority w:val="99"/>
    <w:semiHidden w:val="on"/>
    <w:pPr>
      <w:shd w:val="clear" w:color="auto" w:fill="000080"/>
    </w:pPr>
    <w:rPr>
      <w:rFonts w:ascii="Tahoma" w:cs="Tahoma" w:hAnsi="Tahoma"/>
      <w:sz w:val="20"/>
      <w:szCs w:val="20"/>
    </w:rPr>
  </w:style>
  <w:style w:type="paragraph" w:customStyle="1" w:styleId="Прижатыйвлево">
    <w:name w:val="Прижатый влево"/>
    <w:basedOn w:val="Normal"/>
    <w:next w:val="Normal"/>
    <w:uiPriority w:val="99"/>
    <w:pPr/>
    <w:rPr>
      <w:rFonts w:ascii="Arial" w:cs="Arial" w:hAnsi="Arial"/>
    </w:rPr>
  </w:style>
  <w:style w:type="paragraph" w:customStyle="1" w:styleId="Основнойтекстсотступом21">
    <w:name w:val="Основной текст с отступом 21"/>
    <w:basedOn w:val="Normal"/>
    <w:uiPriority w:val="99"/>
    <w:pPr>
      <w:ind w:left="4248"/>
    </w:pPr>
    <w:rPr>
      <w:sz w:val="28"/>
      <w:szCs w:val="20"/>
      <w:lang w:eastAsia="ar-SA"/>
    </w:rPr>
  </w:style>
  <w:style w:type="paragraph" w:customStyle="1" w:styleId="Основнойтекстсотступом31">
    <w:name w:val="Основной текст с отступом 31"/>
    <w:basedOn w:val="Normal"/>
    <w:uiPriority w:val="99"/>
    <w:pPr>
      <w:ind w:left="3540" w:firstLine="690"/>
      <w:jc w:val="both"/>
    </w:pPr>
    <w:rPr>
      <w:sz w:val="28"/>
      <w:szCs w:val="20"/>
      <w:lang w:eastAsia="ar-SA"/>
    </w:rPr>
  </w:style>
  <w:style w:type="paragraph" w:customStyle="1" w:styleId="Содержимоетаблицы">
    <w:name w:val="Содержимое таблицы"/>
    <w:basedOn w:val="Normal"/>
    <w:uiPriority w:val="99"/>
    <w:pPr/>
    <w:rPr>
      <w:sz w:val="20"/>
      <w:szCs w:val="20"/>
      <w:lang w:eastAsia="ar-SA"/>
    </w:rPr>
  </w:style>
  <w:style w:type="table" w:styleId="TableGrid">
    <w:name w:val="Table Grid"/>
    <w:basedOn w:val="NormalTable"/>
    <w:uiPriority w:val="59"/>
    <w:rPr>
      <w:rFonts w:ascii="Calibri" w:eastAsia="Calibri" w:hAnsi="Calibri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 w:val="on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 w:val="on"/>
    <w:rPr>
      <w:color w:val="800080"/>
      <w:u w:val="single"/>
    </w:rPr>
  </w:style>
  <w:style w:type="paragraph" w:customStyle="1" w:styleId="Xl117">
    <w:name w:val="Xl11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18">
    <w:name w:val="Xl11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19">
    <w:name w:val="Xl11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20">
    <w:name w:val="Xl120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21">
    <w:name w:val="Xl121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22">
    <w:name w:val="Xl122"/>
    <w:basedOn w:val="Normal"/>
    <w:uiPriority w:val="99"/>
    <w:pPr>
      <w:pBdr>
        <w:top w:val="single" w:color="auto" w:sz="8" w:space="0"/>
        <w:left w:val="single" w:color="auto" w:sz="8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23">
    <w:name w:val="Xl123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24">
    <w:name w:val="Xl12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25">
    <w:name w:val="Xl12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26">
    <w:name w:val="Xl126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27">
    <w:name w:val="Xl12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28">
    <w:name w:val="Xl12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29">
    <w:name w:val="Xl12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30">
    <w:name w:val="Xl130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31">
    <w:name w:val="Xl13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32">
    <w:name w:val="Xl132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33">
    <w:name w:val="Xl13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34">
    <w:name w:val="Xl13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35">
    <w:name w:val="Xl135"/>
    <w:basedOn w:val="Normal"/>
    <w:uiPriority w:val="99"/>
    <w:pPr>
      <w:spacing w:before="100" w:after="100"/>
    </w:pPr>
  </w:style>
  <w:style w:type="paragraph" w:customStyle="1" w:styleId="Xl136">
    <w:name w:val="Xl136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37">
    <w:name w:val="Xl13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38">
    <w:name w:val="Xl13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39">
    <w:name w:val="Xl139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40">
    <w:name w:val="Xl140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41">
    <w:name w:val="Xl141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42">
    <w:name w:val="Xl142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  <w:rPr>
      <w:sz w:val="18"/>
      <w:szCs w:val="18"/>
    </w:rPr>
  </w:style>
  <w:style w:type="paragraph" w:customStyle="1" w:styleId="Xl143">
    <w:name w:val="Xl143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44">
    <w:name w:val="Xl144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45">
    <w:name w:val="Xl145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46">
    <w:name w:val="Xl146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47">
    <w:name w:val="Xl14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48">
    <w:name w:val="Xl14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49">
    <w:name w:val="Xl14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50">
    <w:name w:val="Xl150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51">
    <w:name w:val="Xl151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52">
    <w:name w:val="Xl152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</w:pPr>
  </w:style>
  <w:style w:type="paragraph" w:customStyle="1" w:styleId="Xl153">
    <w:name w:val="Xl15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54">
    <w:name w:val="Xl15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55">
    <w:name w:val="Xl15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56">
    <w:name w:val="Xl156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57">
    <w:name w:val="Xl157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58">
    <w:name w:val="Xl15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  <w:rPr>
      <w:color w:val="000000"/>
    </w:rPr>
  </w:style>
  <w:style w:type="paragraph" w:customStyle="1" w:styleId="Xl159">
    <w:name w:val="Xl15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60">
    <w:name w:val="Xl160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</w:style>
  <w:style w:type="paragraph" w:customStyle="1" w:styleId="Xl161">
    <w:name w:val="Xl16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62">
    <w:name w:val="Xl162"/>
    <w:basedOn w:val="Normal"/>
    <w:uiPriority w:val="99"/>
    <w:pPr>
      <w:spacing w:before="100" w:after="100"/>
    </w:pPr>
  </w:style>
  <w:style w:type="paragraph" w:customStyle="1" w:styleId="Xl163">
    <w:name w:val="Xl163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64">
    <w:name w:val="Xl164"/>
    <w:basedOn w:val="Normal"/>
    <w:uiPriority w:val="99"/>
    <w:pPr>
      <w:spacing w:before="100" w:after="100"/>
      <w:jc w:val="center"/>
    </w:pPr>
  </w:style>
  <w:style w:type="paragraph" w:customStyle="1" w:styleId="Xl165">
    <w:name w:val="Xl165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8" w:space="0"/>
        <w:right w:val="single" w:color="auto" w:sz="8" w:space="0"/>
      </w:pBdr>
      <w:spacing w:before="100" w:after="100"/>
      <w:jc w:val="center"/>
    </w:pPr>
    <w:rPr>
      <w:b/>
      <w:bCs/>
    </w:rPr>
  </w:style>
  <w:style w:type="paragraph" w:customStyle="1" w:styleId="Xl166">
    <w:name w:val="Xl166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67">
    <w:name w:val="Xl16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  <w:rPr>
      <w:color w:val="000000"/>
    </w:rPr>
  </w:style>
  <w:style w:type="paragraph" w:customStyle="1" w:styleId="Xl168">
    <w:name w:val="Xl168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69">
    <w:name w:val="Xl169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70">
    <w:name w:val="Xl170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  <w:rPr>
      <w:color w:val="000000"/>
    </w:rPr>
  </w:style>
  <w:style w:type="paragraph" w:customStyle="1" w:styleId="Xl171">
    <w:name w:val="Xl171"/>
    <w:basedOn w:val="Normal"/>
    <w:uiPriority w:val="99"/>
    <w:pPr>
      <w:pBdr>
        <w:left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  <w:rPr>
      <w:color w:val="000000"/>
    </w:rPr>
  </w:style>
  <w:style w:type="paragraph" w:customStyle="1" w:styleId="Xl172">
    <w:name w:val="Xl172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after="100"/>
      <w:jc w:val="center"/>
    </w:pPr>
    <w:rPr>
      <w:color w:val="000000"/>
    </w:rPr>
  </w:style>
  <w:style w:type="paragraph" w:customStyle="1" w:styleId="Xl173">
    <w:name w:val="Xl173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74">
    <w:name w:val="Xl174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75">
    <w:name w:val="Xl175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color w:val="000000"/>
    </w:rPr>
  </w:style>
  <w:style w:type="paragraph" w:customStyle="1" w:styleId="Xl176">
    <w:name w:val="Xl176"/>
    <w:basedOn w:val="Normal"/>
    <w:uiPriority w:val="99"/>
    <w:pPr>
      <w:pBdr>
        <w:top w:val="single" w:color="auto" w:sz="8" w:space="0"/>
        <w:left w:val="single" w:color="auto" w:sz="4" w:space="0"/>
        <w:right w:val="single" w:color="auto" w:sz="4" w:space="0"/>
      </w:pBdr>
      <w:spacing w:before="100" w:after="100"/>
      <w:jc w:val="center"/>
    </w:pPr>
  </w:style>
  <w:style w:type="paragraph" w:customStyle="1" w:styleId="Xl177">
    <w:name w:val="Xl17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  <w:rPr>
      <w:color w:val="000000"/>
    </w:rPr>
  </w:style>
  <w:style w:type="paragraph" w:customStyle="1" w:styleId="Xl178">
    <w:name w:val="Xl178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79">
    <w:name w:val="Xl179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</w:style>
  <w:style w:type="paragraph" w:customStyle="1" w:styleId="Xl180">
    <w:name w:val="Xl180"/>
    <w:basedOn w:val="Normal"/>
    <w:uiPriority w:val="99"/>
    <w:pPr>
      <w:pBdr>
        <w:top w:val="single" w:color="auto" w:sz="8" w:space="0"/>
        <w:left w:val="single" w:color="auto" w:sz="8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1">
    <w:name w:val="Xl181"/>
    <w:basedOn w:val="Normal"/>
    <w:uiPriority w:val="99"/>
    <w:pPr>
      <w:pBdr>
        <w:top w:val="single" w:color="auto" w:sz="4" w:space="0"/>
        <w:left w:val="single" w:color="auto" w:sz="8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2">
    <w:name w:val="Xl182"/>
    <w:basedOn w:val="Normal"/>
    <w:uiPriority w:val="99"/>
    <w:pPr>
      <w:pBdr>
        <w:top w:val="single" w:color="auto" w:sz="4" w:space="0"/>
        <w:left w:val="single" w:color="auto" w:sz="8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3">
    <w:name w:val="Xl183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4">
    <w:name w:val="Xl18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5">
    <w:name w:val="Xl18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6">
    <w:name w:val="Xl186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4" w:space="0"/>
        <w:right w:val="single" w:color="auto" w:sz="8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7">
    <w:name w:val="Xl18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8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8">
    <w:name w:val="Xl18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8" w:space="0"/>
        <w:right w:val="single" w:color="auto" w:sz="8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89">
    <w:name w:val="Xl18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90">
    <w:name w:val="Xl190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91">
    <w:name w:val="Xl191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92">
    <w:name w:val="Xl192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</w:pPr>
  </w:style>
  <w:style w:type="paragraph" w:customStyle="1" w:styleId="Xl193">
    <w:name w:val="Xl193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94">
    <w:name w:val="Xl194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paragraph" w:customStyle="1" w:styleId="Xl195">
    <w:name w:val="Xl195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96">
    <w:name w:val="Xl196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97">
    <w:name w:val="Xl197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</w:rPr>
  </w:style>
  <w:style w:type="paragraph" w:customStyle="1" w:styleId="Xl198">
    <w:name w:val="Xl198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  <w:color w:val="000000"/>
    </w:rPr>
  </w:style>
  <w:style w:type="character" w:customStyle="1" w:styleId="Fontstyle01">
    <w:name w:val="Fontstyle01"/>
    <w:basedOn w:val="DefaultParagraphFont"/>
    <w:uiPriority w:val="99"/>
    <w:rPr>
      <w:rFonts w:ascii="Arial" w:cs="Arial" w:hAnsi="Arial" w:hint="default"/>
      <w:b w:val="off"/>
      <w:bCs w:val="off"/>
      <w:i w:val="off"/>
      <w:iCs w:val="off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Relationship Id="rId8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B17A6-FC50-46FC-AB88-108206EA8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5937</Words>
  <Characters>33842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«САВИНСКОЕ»</vt:lpstr>
    </vt:vector>
  </TitlesOfParts>
  <Company>SamForum.ws</Company>
  <LinksUpToDate>false</LinksUpToDate>
  <CharactersWithSpaces>39700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«САВИНСКОЕ»</dc:title>
  <dc:creator>SamLab.ws</dc:creator>
  <cp:lastModifiedBy>Надежда</cp:lastModifiedBy>
</cp:coreProperties>
</file>