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word/document.xml" ContentType="application/vnd.openxmlformats-officedocument.wordprocessingml.document.main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styles.xml" ContentType="application/vnd.openxmlformats-officedocument.wordprocessingml.styles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dgm="http://schemas.openxmlformats.org/drawingml/2006/diagram">
  <w:body>
    <w:p w14:paraId="00000001">
      <w:pPr>
        <w:tabs>
          <w:tab w:val="center" w:pos="4677"/>
        </w:tabs>
        <w:jc w:val="center"/>
        <w:rPr>
          <w:b/>
          <w:bCs/>
          <w:sz w:val="28"/>
          <w:szCs w:val="28"/>
        </w:rPr>
      </w:pPr>
    </w:p>
    <w:p w14:paraId="00000002">
      <w:pPr>
        <w:tabs>
          <w:tab w:val="center" w:pos="4677"/>
        </w:tabs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От 28.11.202</w:t>
      </w:r>
      <w:r>
        <w:rPr>
          <w:b/>
          <w:bCs/>
          <w:sz w:val="28"/>
          <w:szCs w:val="28"/>
        </w:rPr>
        <w:t>4</w:t>
      </w:r>
      <w:r>
        <w:rPr>
          <w:b/>
          <w:bCs/>
          <w:sz w:val="28"/>
          <w:szCs w:val="28"/>
        </w:rPr>
        <w:t xml:space="preserve"> № 24-Д</w:t>
      </w:r>
    </w:p>
    <w:p w14:paraId="00000003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РОССИЙСКАЯ ФЕДЕРАЦИЯ</w:t>
      </w:r>
    </w:p>
    <w:p w14:paraId="00000004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ИРКУТСКАЯ ОБЛАСТЬ</w:t>
      </w:r>
    </w:p>
    <w:p w14:paraId="00000005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СЛЮДЯНСКИЙ</w:t>
      </w:r>
      <w:r>
        <w:rPr>
          <w:b/>
          <w:bCs/>
          <w:sz w:val="28"/>
          <w:szCs w:val="28"/>
        </w:rPr>
        <w:t xml:space="preserve"> МУНИЦИПАЛЬНЫЙ РАЙОН</w:t>
      </w:r>
    </w:p>
    <w:p w14:paraId="00000006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ПОРТБАЙКАЛЬСКОЕ</w:t>
      </w:r>
      <w:r>
        <w:rPr>
          <w:b/>
          <w:bCs/>
          <w:sz w:val="28"/>
          <w:szCs w:val="28"/>
        </w:rPr>
        <w:t xml:space="preserve"> СЕЛЬСКОЕ ПОСЕЛЕНИЕ</w:t>
      </w:r>
    </w:p>
    <w:p w14:paraId="00000007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ДУМА</w:t>
      </w:r>
    </w:p>
    <w:p w14:paraId="00000008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РЕШЕНИЕ</w:t>
      </w:r>
    </w:p>
    <w:p w14:paraId="00000009">
      <w:pPr>
        <w:jc w:val="center"/>
        <w:rPr>
          <w:b/>
          <w:sz w:val="28"/>
          <w:szCs w:val="28"/>
        </w:rPr>
      </w:pPr>
    </w:p>
    <w:p w14:paraId="0000000A">
      <w:pPr>
        <w:jc w:val="center"/>
        <w:rPr>
          <w:rFonts w:eastAsia="Calibri"/>
          <w:b/>
          <w:sz w:val="28"/>
          <w:szCs w:val="28"/>
          <w:lang w:eastAsia="en-US"/>
        </w:rPr>
      </w:pPr>
      <w:r>
        <w:rPr>
          <w:b/>
          <w:sz w:val="28"/>
          <w:szCs w:val="28"/>
        </w:rPr>
        <w:t>О</w:t>
      </w:r>
      <w:r>
        <w:rPr>
          <w:b/>
          <w:sz w:val="28"/>
          <w:szCs w:val="28"/>
        </w:rPr>
        <w:t xml:space="preserve">б УТВЕРЖДЕНИИ </w:t>
      </w:r>
      <w:r>
        <w:rPr>
          <w:rFonts w:eastAsia="Calibri"/>
          <w:b/>
          <w:sz w:val="28"/>
          <w:szCs w:val="28"/>
          <w:lang w:eastAsia="en-US"/>
        </w:rPr>
        <w:t xml:space="preserve"> </w:t>
      </w:r>
      <w:r>
        <w:rPr>
          <w:rFonts w:eastAsia="Calibri"/>
          <w:b/>
          <w:sz w:val="28"/>
          <w:szCs w:val="28"/>
          <w:lang w:eastAsia="en-US"/>
        </w:rPr>
        <w:t>СТРУКТУР</w:t>
      </w:r>
      <w:r>
        <w:rPr>
          <w:rFonts w:eastAsia="Calibri"/>
          <w:b/>
          <w:sz w:val="28"/>
          <w:szCs w:val="28"/>
          <w:lang w:eastAsia="en-US"/>
        </w:rPr>
        <w:t>Ы</w:t>
      </w:r>
      <w:r>
        <w:rPr>
          <w:rFonts w:eastAsia="Calibri"/>
          <w:b/>
          <w:sz w:val="28"/>
          <w:szCs w:val="28"/>
          <w:lang w:eastAsia="en-US"/>
        </w:rPr>
        <w:t xml:space="preserve"> АДМИНИСТРАЦИИ </w:t>
      </w:r>
      <w:r>
        <w:rPr>
          <w:rFonts w:eastAsia="Calibri"/>
          <w:b/>
          <w:sz w:val="28"/>
          <w:szCs w:val="28"/>
          <w:lang w:eastAsia="en-US"/>
        </w:rPr>
        <w:t>ПОРТБАЙКАЛЬСКОГО</w:t>
      </w:r>
      <w:r>
        <w:rPr>
          <w:rFonts w:eastAsia="Calibri"/>
          <w:b/>
          <w:sz w:val="28"/>
          <w:szCs w:val="28"/>
          <w:lang w:eastAsia="en-US"/>
        </w:rPr>
        <w:t xml:space="preserve"> МУНИЦИПАЛЬНОГО ОБРАЗОВАНИЯ</w:t>
      </w:r>
    </w:p>
    <w:p w14:paraId="0000000B">
      <w:pPr>
        <w:jc w:val="center"/>
        <w:rPr>
          <w:rFonts w:eastAsia="Calibri"/>
          <w:lang w:eastAsia="en-US"/>
        </w:rPr>
      </w:pPr>
    </w:p>
    <w:p w14:paraId="0000000C">
      <w:pPr>
        <w:tabs>
          <w:tab w:val="left" w:pos="709"/>
        </w:tabs>
        <w:ind w:firstLine="709"/>
        <w:jc w:val="both"/>
        <w:rPr>
          <w:rFonts w:eastAsia="Calibri"/>
          <w:lang w:eastAsia="en-US"/>
        </w:rPr>
      </w:pPr>
      <w:r>
        <w:rPr>
          <w:rFonts w:eastAsia="Calibri"/>
          <w:lang w:eastAsia="en-US"/>
        </w:rPr>
        <w:t xml:space="preserve">В целях совершенствования работы администрации </w:t>
      </w:r>
      <w:r>
        <w:rPr>
          <w:rFonts w:eastAsia="Calibri"/>
          <w:lang w:eastAsia="en-US"/>
        </w:rPr>
        <w:t>Портбайкальского муниципального образования</w:t>
      </w:r>
      <w:r>
        <w:rPr>
          <w:rFonts w:eastAsia="Calibri"/>
          <w:lang w:eastAsia="en-US"/>
        </w:rPr>
        <w:t>, в соответствии с Федеральным законом от 6 октября 2003 года № 13</w:t>
      </w:r>
      <w:r>
        <w:rPr>
          <w:rFonts w:eastAsia="Calibri"/>
          <w:lang w:eastAsia="en-US"/>
        </w:rPr>
        <w:t>1-</w:t>
      </w:r>
      <w:r>
        <w:rPr>
          <w:rFonts w:eastAsia="Calibri"/>
          <w:lang w:eastAsia="en-US"/>
        </w:rPr>
        <w:t>ФЗ «Об основных принципах организации местного самоуправления в Российской Федерации», Федеральным законом от 2 марта 2007 года № 25-ФЗ «О муниципальной службе в Российской Федерации, Законом Иркутской области от 15.10.2007 № 88-оз «Об отдельных вопросах муниципальной службы в Иркутской области», Законом Иркутской области от 15.10.2007 года №</w:t>
      </w:r>
      <w:r>
        <w:rPr>
          <w:rFonts w:eastAsia="Calibri"/>
          <w:lang w:eastAsia="en-US"/>
        </w:rPr>
        <w:t xml:space="preserve"> </w:t>
      </w:r>
      <w:r>
        <w:rPr>
          <w:rFonts w:eastAsia="Calibri"/>
          <w:lang w:eastAsia="en-US"/>
        </w:rPr>
        <w:t>89-ОЗ «О Реестре должностей муниципальной службы в Иркутской области и соотношении должностей муниципальной службы и должностей государственной гражданской службы Иркутской области», руководствуясь Устав</w:t>
      </w:r>
      <w:r>
        <w:rPr>
          <w:rFonts w:eastAsia="Calibri"/>
          <w:lang w:eastAsia="en-US"/>
        </w:rPr>
        <w:t>ом</w:t>
      </w:r>
      <w:r>
        <w:rPr>
          <w:rFonts w:eastAsia="Calibri"/>
          <w:lang w:eastAsia="en-US"/>
        </w:rPr>
        <w:t xml:space="preserve"> </w:t>
      </w:r>
      <w:r>
        <w:rPr>
          <w:rFonts w:eastAsia="Calibri"/>
          <w:lang w:eastAsia="en-US"/>
        </w:rPr>
        <w:t>Портбайкальского</w:t>
      </w:r>
      <w:r>
        <w:rPr>
          <w:rFonts w:eastAsia="Calibri"/>
          <w:lang w:eastAsia="en-US"/>
        </w:rPr>
        <w:t xml:space="preserve"> муниципального образования,</w:t>
      </w:r>
      <w:r>
        <w:rPr>
          <w:rFonts w:eastAsia="Calibri"/>
          <w:lang w:eastAsia="en-US"/>
        </w:rPr>
        <w:t xml:space="preserve"> Дума </w:t>
      </w:r>
    </w:p>
    <w:p w14:paraId="0000000D">
      <w:pPr>
        <w:ind w:firstLine="709"/>
        <w:jc w:val="both"/>
        <w:rPr>
          <w:rFonts w:eastAsia="Calibri"/>
          <w:lang w:eastAsia="en-US"/>
        </w:rPr>
      </w:pPr>
    </w:p>
    <w:p w14:paraId="0000000E">
      <w:pPr>
        <w:ind w:firstLine="709"/>
        <w:jc w:val="center"/>
        <w:rPr>
          <w:rFonts w:eastAsia="Calibri"/>
          <w:lang w:eastAsia="en-US"/>
        </w:rPr>
      </w:pPr>
      <w:r>
        <w:rPr>
          <w:rFonts w:eastAsia="Calibri"/>
          <w:lang w:eastAsia="en-US"/>
        </w:rPr>
        <w:t>РЕШИЛА:</w:t>
      </w:r>
    </w:p>
    <w:p w14:paraId="0000000F">
      <w:pPr>
        <w:tabs>
          <w:tab w:val="left" w:pos="709"/>
        </w:tabs>
        <w:ind w:firstLine="709"/>
        <w:jc w:val="center"/>
        <w:rPr>
          <w:rFonts w:eastAsia="Calibri"/>
          <w:lang w:eastAsia="en-US"/>
        </w:rPr>
      </w:pPr>
    </w:p>
    <w:p w14:paraId="00000010">
      <w:pPr>
        <w:ind w:firstLine="708"/>
        <w:jc w:val="both"/>
        <w:rPr>
          <w:rFonts w:eastAsia="Calibri"/>
          <w:lang w:eastAsia="en-US"/>
        </w:rPr>
      </w:pPr>
      <w:r>
        <w:rPr>
          <w:rFonts w:eastAsia="Calibri"/>
          <w:lang w:eastAsia="en-US"/>
        </w:rPr>
        <w:t xml:space="preserve">1. </w:t>
      </w:r>
      <w:r>
        <w:rPr>
          <w:rFonts w:eastAsia="Calibri"/>
          <w:lang w:eastAsia="en-US"/>
        </w:rPr>
        <w:t xml:space="preserve">Утвердить </w:t>
      </w:r>
      <w:r>
        <w:rPr>
          <w:rFonts w:eastAsia="Calibri"/>
          <w:lang w:eastAsia="en-US"/>
        </w:rPr>
        <w:t xml:space="preserve">структуру администрации </w:t>
      </w:r>
      <w:r>
        <w:rPr>
          <w:rFonts w:eastAsia="Calibri"/>
          <w:lang w:eastAsia="en-US"/>
        </w:rPr>
        <w:t xml:space="preserve">Портбайкальского муниципального образования </w:t>
      </w:r>
      <w:r>
        <w:rPr>
          <w:rFonts w:eastAsia="Calibri"/>
          <w:lang w:eastAsia="en-US"/>
        </w:rPr>
        <w:t xml:space="preserve"> с </w:t>
      </w:r>
      <w:r>
        <w:rPr>
          <w:rFonts w:eastAsia="Calibri"/>
          <w:lang w:eastAsia="en-US"/>
        </w:rPr>
        <w:t xml:space="preserve">01 января </w:t>
      </w:r>
      <w:r>
        <w:rPr>
          <w:rFonts w:eastAsia="Calibri"/>
          <w:lang w:eastAsia="en-US"/>
        </w:rPr>
        <w:t xml:space="preserve"> 202</w:t>
      </w:r>
      <w:r>
        <w:rPr>
          <w:rFonts w:eastAsia="Calibri"/>
          <w:lang w:eastAsia="en-US"/>
        </w:rPr>
        <w:t>5</w:t>
      </w:r>
      <w:r>
        <w:rPr>
          <w:rFonts w:eastAsia="Calibri"/>
          <w:lang w:eastAsia="en-US"/>
        </w:rPr>
        <w:t xml:space="preserve"> года</w:t>
      </w:r>
      <w:r>
        <w:rPr>
          <w:rFonts w:eastAsia="Calibri"/>
          <w:lang w:eastAsia="en-US"/>
        </w:rPr>
        <w:t xml:space="preserve"> (Приложение</w:t>
      </w:r>
      <w:r>
        <w:rPr>
          <w:rFonts w:eastAsia="Calibri"/>
          <w:lang w:eastAsia="en-US"/>
        </w:rPr>
        <w:t xml:space="preserve"> 1</w:t>
      </w:r>
      <w:r>
        <w:rPr>
          <w:rFonts w:eastAsia="Calibri"/>
          <w:lang w:eastAsia="en-US"/>
        </w:rPr>
        <w:t>).</w:t>
      </w:r>
    </w:p>
    <w:p w14:paraId="00000011">
      <w:pPr>
        <w:ind w:firstLine="709"/>
        <w:jc w:val="both"/>
        <w:rPr>
          <w:rFonts w:eastAsia="Calibri"/>
          <w:lang w:eastAsia="en-US"/>
        </w:rPr>
      </w:pPr>
      <w:r>
        <w:rPr>
          <w:rFonts w:eastAsia="Calibri"/>
          <w:lang w:eastAsia="en-US"/>
        </w:rPr>
        <w:t xml:space="preserve">2. Признать утратившим силу решение Думы </w:t>
      </w:r>
      <w:r>
        <w:rPr>
          <w:rFonts w:eastAsia="Calibri"/>
          <w:lang w:eastAsia="en-US"/>
        </w:rPr>
        <w:t>Портбайкальского</w:t>
      </w:r>
      <w:r>
        <w:rPr>
          <w:rFonts w:eastAsia="Calibri"/>
          <w:lang w:eastAsia="en-US"/>
        </w:rPr>
        <w:t xml:space="preserve"> муниципального образования от 2</w:t>
      </w:r>
      <w:r>
        <w:rPr>
          <w:rFonts w:eastAsia="Calibri"/>
          <w:lang w:eastAsia="en-US"/>
        </w:rPr>
        <w:t>6</w:t>
      </w:r>
      <w:r>
        <w:rPr>
          <w:rFonts w:eastAsia="Calibri"/>
          <w:lang w:eastAsia="en-US"/>
        </w:rPr>
        <w:t>.</w:t>
      </w:r>
      <w:r>
        <w:rPr>
          <w:rFonts w:eastAsia="Calibri"/>
          <w:lang w:eastAsia="en-US"/>
        </w:rPr>
        <w:t>10</w:t>
      </w:r>
      <w:r>
        <w:rPr>
          <w:rFonts w:eastAsia="Calibri"/>
          <w:lang w:eastAsia="en-US"/>
        </w:rPr>
        <w:t>.202</w:t>
      </w:r>
      <w:r>
        <w:rPr>
          <w:rFonts w:eastAsia="Calibri"/>
          <w:lang w:eastAsia="en-US"/>
        </w:rPr>
        <w:t>3</w:t>
      </w:r>
      <w:r>
        <w:rPr>
          <w:rFonts w:eastAsia="Calibri"/>
          <w:lang w:eastAsia="en-US"/>
        </w:rPr>
        <w:t xml:space="preserve"> № </w:t>
      </w:r>
      <w:r>
        <w:rPr>
          <w:rFonts w:eastAsia="Calibri"/>
          <w:lang w:eastAsia="en-US"/>
        </w:rPr>
        <w:t>22</w:t>
      </w:r>
      <w:r>
        <w:rPr>
          <w:rFonts w:eastAsia="Calibri"/>
          <w:lang w:eastAsia="en-US"/>
        </w:rPr>
        <w:t>-Д</w:t>
      </w:r>
      <w:r>
        <w:rPr>
          <w:rFonts w:eastAsia="Calibri"/>
          <w:lang w:eastAsia="en-US"/>
        </w:rPr>
        <w:t xml:space="preserve"> «Об утверждении структуры администрации </w:t>
      </w:r>
      <w:r>
        <w:rPr>
          <w:rFonts w:eastAsia="Calibri"/>
          <w:lang w:eastAsia="en-US"/>
        </w:rPr>
        <w:t>Портбайкальского</w:t>
      </w:r>
      <w:r>
        <w:rPr>
          <w:rFonts w:eastAsia="Calibri"/>
          <w:lang w:eastAsia="en-US"/>
        </w:rPr>
        <w:t xml:space="preserve"> муниципального образования».</w:t>
      </w:r>
    </w:p>
    <w:p w14:paraId="00000012">
      <w:pPr>
        <w:ind w:firstLine="709"/>
        <w:jc w:val="both"/>
        <w:rPr/>
      </w:pPr>
      <w:r>
        <w:rPr>
          <w:rFonts w:eastAsia="Calibri"/>
          <w:lang w:eastAsia="en-US"/>
        </w:rPr>
        <w:t>3</w:t>
      </w:r>
      <w:r>
        <w:rPr>
          <w:rFonts w:eastAsia="Calibri"/>
          <w:lang w:eastAsia="en-US"/>
        </w:rPr>
        <w:t xml:space="preserve">. Опубликовать настоящее решение в </w:t>
      </w:r>
      <w:r>
        <w:rPr>
          <w:rFonts w:eastAsia="Calibri"/>
          <w:lang w:eastAsia="en-US"/>
        </w:rPr>
        <w:t>печатном издании «Портбайкальские вести»</w:t>
      </w:r>
      <w:r>
        <w:rPr>
          <w:rFonts w:eastAsia="Calibri"/>
          <w:lang w:eastAsia="en-US"/>
        </w:rPr>
        <w:t xml:space="preserve"> и разместить на официальном сайте администрации </w:t>
      </w:r>
      <w:r>
        <w:rPr>
          <w:rFonts w:eastAsia="Calibri"/>
          <w:lang w:eastAsia="en-US"/>
        </w:rPr>
        <w:t>Портбайкальского</w:t>
      </w:r>
      <w:r>
        <w:rPr>
          <w:rFonts w:eastAsia="Calibri"/>
          <w:lang w:eastAsia="en-US"/>
        </w:rPr>
        <w:t xml:space="preserve"> муниципального образования в информационно-телекоммуникационной сети «Интернет».</w:t>
      </w:r>
    </w:p>
    <w:p w14:paraId="00000013">
      <w:pPr>
        <w:jc w:val="both"/>
        <w:rPr/>
      </w:pPr>
    </w:p>
    <w:p w14:paraId="00000014">
      <w:pPr>
        <w:jc w:val="both"/>
        <w:rPr/>
      </w:pPr>
    </w:p>
    <w:p w14:paraId="00000015">
      <w:r>
        <w:t>Председатель Думы,</w:t>
      </w:r>
    </w:p>
    <w:p w14:paraId="00000016">
      <w:r>
        <w:t>глава Портбайкальского</w:t>
      </w:r>
      <w:r>
        <w:t xml:space="preserve"> </w:t>
      </w:r>
    </w:p>
    <w:p w14:paraId="00000017">
      <w:r>
        <w:t xml:space="preserve">муниципального образования                                                                  </w:t>
      </w:r>
      <w:r>
        <w:t xml:space="preserve">Н.И. Симакова </w:t>
      </w:r>
    </w:p>
    <w:p w14:paraId="00000018">
      <w:pPr>
        <w:rPr>
          <w:rFonts w:ascii="Arial" w:cs="Arial" w:hAnsi="Arial"/>
        </w:rPr>
      </w:pPr>
    </w:p>
    <w:p w14:paraId="00000019">
      <w:pPr>
        <w:rPr>
          <w:rFonts w:ascii="Arial" w:cs="Arial" w:hAnsi="Arial"/>
        </w:rPr>
      </w:pPr>
    </w:p>
    <w:p w14:paraId="0000001A">
      <w:pPr>
        <w:rPr>
          <w:rFonts w:ascii="Arial" w:cs="Arial" w:hAnsi="Arial"/>
        </w:rPr>
      </w:pPr>
    </w:p>
    <w:p w14:paraId="0000001B">
      <w:pPr>
        <w:rPr>
          <w:rFonts w:ascii="Arial" w:cs="Arial" w:hAnsi="Arial"/>
        </w:rPr>
      </w:pPr>
    </w:p>
    <w:p w14:paraId="0000001C">
      <w:pPr>
        <w:rPr>
          <w:rFonts w:ascii="Arial" w:cs="Arial" w:hAnsi="Arial"/>
        </w:rPr>
      </w:pPr>
    </w:p>
    <w:p w14:paraId="0000001D">
      <w:pPr>
        <w:rPr>
          <w:rFonts w:ascii="Arial" w:cs="Arial" w:hAnsi="Arial"/>
        </w:rPr>
      </w:pPr>
    </w:p>
    <w:p w14:paraId="0000001E">
      <w:pPr>
        <w:rPr>
          <w:rFonts w:ascii="Arial" w:cs="Arial" w:hAnsi="Arial"/>
        </w:rPr>
      </w:pPr>
    </w:p>
    <w:p w14:paraId="0000001F">
      <w:pPr>
        <w:rPr>
          <w:rFonts w:ascii="Arial" w:cs="Arial" w:hAnsi="Arial"/>
        </w:rPr>
      </w:pPr>
    </w:p>
    <w:p w14:paraId="00000020">
      <w:pPr>
        <w:rPr>
          <w:rFonts w:ascii="Arial" w:cs="Arial" w:hAnsi="Arial"/>
        </w:rPr>
      </w:pPr>
    </w:p>
    <w:p w14:paraId="00000021">
      <w:pPr>
        <w:rPr>
          <w:rFonts w:ascii="Arial" w:cs="Arial" w:hAnsi="Arial"/>
        </w:rPr>
      </w:pPr>
    </w:p>
    <w:p w14:paraId="00000022">
      <w:pPr>
        <w:rPr>
          <w:rFonts w:ascii="Arial" w:cs="Arial" w:hAnsi="Arial"/>
        </w:rPr>
      </w:pPr>
    </w:p>
    <w:p w14:paraId="00000023">
      <w:pPr>
        <w:rPr>
          <w:rFonts w:ascii="Arial" w:cs="Arial" w:hAnsi="Arial"/>
        </w:rPr>
      </w:pPr>
    </w:p>
    <w:p w14:paraId="00000024">
      <w:pPr>
        <w:rPr>
          <w:rFonts w:ascii="Arial" w:cs="Arial" w:hAnsi="Arial"/>
        </w:rPr>
      </w:pPr>
    </w:p>
    <w:p w14:paraId="00000025">
      <w:pPr>
        <w:rPr>
          <w:rFonts w:ascii="Arial" w:cs="Arial" w:hAnsi="Arial"/>
        </w:rPr>
      </w:pPr>
    </w:p>
    <w:p w14:paraId="00000026">
      <w:pPr>
        <w:rPr>
          <w:rFonts w:ascii="Arial" w:cs="Arial" w:hAnsi="Arial"/>
        </w:rPr>
      </w:pPr>
    </w:p>
    <w:p w14:paraId="00000027">
      <w:pPr>
        <w:jc w:val="both"/>
        <w:rPr/>
      </w:pPr>
      <w:r>
        <w:t xml:space="preserve">                                                                                           </w:t>
      </w:r>
      <w:r>
        <w:t>Приложение № 1 к решению Думы</w:t>
      </w:r>
    </w:p>
    <w:p w14:paraId="00000028">
      <w:pPr>
        <w:jc w:val="both"/>
        <w:rPr/>
      </w:pPr>
      <w:r>
        <w:t xml:space="preserve">                                                                               </w:t>
      </w:r>
      <w:r>
        <w:t xml:space="preserve"> </w:t>
      </w:r>
      <w:r>
        <w:t xml:space="preserve">  Портбайкальского </w:t>
      </w:r>
      <w:r>
        <w:t>сельского</w:t>
      </w:r>
      <w:r>
        <w:t xml:space="preserve"> поселения</w:t>
      </w:r>
    </w:p>
    <w:p w14:paraId="00000029">
      <w:pPr>
        <w:jc w:val="both"/>
        <w:rPr/>
      </w:pPr>
      <w:r>
        <w:t xml:space="preserve">                                                                         </w:t>
      </w:r>
      <w:r>
        <w:t xml:space="preserve"> </w:t>
      </w:r>
      <w:r>
        <w:t xml:space="preserve">  </w:t>
      </w:r>
      <w:r>
        <w:t xml:space="preserve">      № </w:t>
      </w:r>
      <w:r>
        <w:t xml:space="preserve"> 24-д  </w:t>
      </w:r>
      <w:r>
        <w:t>от 28.11.</w:t>
      </w:r>
      <w:r>
        <w:t xml:space="preserve"> </w:t>
      </w:r>
      <w:r>
        <w:t>20</w:t>
      </w:r>
      <w:r>
        <w:t>2</w:t>
      </w:r>
      <w:r>
        <w:t>4</w:t>
      </w:r>
      <w:r>
        <w:t>г.</w:t>
      </w:r>
    </w:p>
    <w:p w14:paraId="0000002A">
      <w:pPr>
        <w:jc w:val="both"/>
        <w:rPr/>
      </w:pPr>
    </w:p>
    <w:p w14:paraId="0000002B">
      <w:pPr>
        <w:jc w:val="both"/>
        <w:rPr/>
      </w:pPr>
    </w:p>
    <w:p w14:paraId="0000002C">
      <w:pPr>
        <w:jc w:val="both"/>
        <w:rPr/>
      </w:pPr>
    </w:p>
    <w:p w14:paraId="0000002D">
      <w:pPr>
        <w:jc w:val="center"/>
        <w:rPr/>
      </w:pPr>
      <w:r>
        <w:t>СТРУКТУРА</w:t>
      </w:r>
    </w:p>
    <w:p w14:paraId="0000002E">
      <w:pPr>
        <w:jc w:val="both"/>
        <w:rPr/>
      </w:pPr>
    </w:p>
    <w:p w14:paraId="0000002F">
      <w:pPr>
        <w:jc w:val="center"/>
        <w:rPr/>
      </w:pPr>
      <w:r>
        <w:t>АДМИНИСТРАЦИИ</w:t>
      </w:r>
    </w:p>
    <w:p w14:paraId="00000030">
      <w:pPr>
        <w:jc w:val="center"/>
        <w:rPr/>
      </w:pPr>
      <w:r>
        <w:t>ПОРТБАЙКАЛЬСКОГО МУНИЦИПАЛЬНОГО ОБРАЗОВАНИЯ</w:t>
      </w:r>
    </w:p>
    <w:p w14:paraId="00000031">
      <w:pPr>
        <w:jc w:val="center"/>
        <w:rPr/>
      </w:pPr>
      <w:r>
        <w:t>с  01.01.202</w:t>
      </w:r>
      <w:r>
        <w:t>5</w:t>
      </w:r>
      <w:r>
        <w:t>г.</w:t>
      </w:r>
    </w:p>
    <w:p w14:paraId="00000032">
      <w:pPr>
        <w:jc w:val="center"/>
        <w:rPr/>
      </w:pPr>
    </w:p>
    <w:tbl>
      <w:tblPr>
        <w:tblStyle w:val="TableGrid"/>
        <w:tblW w:w="0" w:type="auto"/>
        <w:tblLook w:val="04A0"/>
      </w:tblPr>
      <w:tblGrid>
        <w:gridCol w:w="9401"/>
      </w:tblGrid>
      <w:tr>
        <w:trPr/>
        <w:tc>
          <w:tcPr>
            <w:cnfStyle w:val="101000000000"/>
            <w:tcW w:w="9571" w:type="dxa"/>
          </w:tcPr>
          <w:p w14:paraId="00000033">
            <w:pPr>
              <w:jc w:val="center"/>
              <w:rPr/>
            </w:pPr>
            <w:r>
              <w:t>АДМИНИСТРАЦИЯ</w:t>
            </w:r>
          </w:p>
          <w:p w14:paraId="00000034">
            <w:pPr>
              <w:jc w:val="center"/>
              <w:rPr/>
            </w:pPr>
            <w:r>
              <w:t>ПОРТБАЙКАЛЬСКОГО СЕЛЬСКОГО ПОСЕЛЕНИЯ</w:t>
            </w:r>
          </w:p>
        </w:tc>
      </w:tr>
    </w:tbl>
    <w:p w14:paraId="00000035">
      <w:pPr>
        <w:ind w:firstLine="567"/>
        <w:jc w:val="both"/>
        <w:rPr/>
      </w:pPr>
      <w:r>
        <w:rPr/>
        <mc:AlternateContent>
          <mc:Choice Requires="wps">
            <w:drawing xmlns:mc="http://schemas.openxmlformats.org/markup-compatibility/2006">
              <wp:anchor allowOverlap="1" behindDoc="0" distT="0" distB="0" distL="114299" distR="114299" layoutInCell="1" locked="0" relativeHeight="251660288" simplePos="0">
                <wp:simplePos x="0" y="0"/>
                <wp:positionH relativeFrom="column">
                  <wp:posOffset>2683509</wp:posOffset>
                </wp:positionH>
                <wp:positionV relativeFrom="paragraph">
                  <wp:posOffset>9525</wp:posOffset>
                </wp:positionV>
                <wp:extent cx="0" cy="587375"/>
                <wp:effectExtent l="0" t="0" r="76200" b="0"/>
                <wp:wrapNone/>
                <wp:docPr id="13" name="AutoShap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Pr id="7" name="AutoShape 2"/>
                      <wps:cNvCnPr>
                        <a:cxnSpLocks noChangeShapeType="1"/>
                      </wps:cNvCnPr>
                      <wps:spPr>
                        <a:xfrm>
                          <a:off x="0" y="0"/>
                          <a:ext cx="0" cy="587375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tailEnd type="triangle" w="med" len="med"/>
                        </a:ln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925D7EAD-2039-6718-CC29E77D15D9" coordsize="21600,21600" style="position:absolute;width:0pt;height:46.25pt;mso-width-percent:0;mso-width-relative:page;mso-height-percent:0;mso-height-relative:page;margin-top:0.75pt;margin-left:211.3pt;mso-wrap-distance-left:8.99992pt;mso-wrap-distance-right:8.99992pt;mso-wrap-distance-top:0pt;mso-wrap-distance-bottom:0pt;rotation:0.000000;z-index:251660288;" strokecolor="#000000" strokeweight="0.75pt" o:spt="32" o:oned="t" path="m0,0 l21600,21600 e">
                <v:stroke color="#000000" filltype="solid" joinstyle="round" linestyle="single" mitterlimit="800000" weight="0.75pt"/>
                <w10:wrap side="both"/>
                <o:lock/>
              </v:shape>
            </w:pict>
          </mc:Fallback>
        </mc:AlternateContent>
      </w:r>
    </w:p>
    <w:p w14:paraId="00000036">
      <w:pPr>
        <w:ind w:firstLine="567"/>
        <w:jc w:val="both"/>
        <w:rPr/>
      </w:pPr>
    </w:p>
    <w:p w14:paraId="00000037">
      <w:pPr>
        <w:ind w:firstLine="567"/>
        <w:jc w:val="both"/>
        <w:rPr/>
      </w:pPr>
    </w:p>
    <w:tbl>
      <w:tblPr>
        <w:tblStyle w:val="TableGrid"/>
        <w:tblW w:w="4407" w:type="dxa"/>
        <w:tblInd w:w="2368" w:type="dxa"/>
        <w:tblLook w:val="04A0"/>
      </w:tblPr>
      <w:tblGrid>
        <w:gridCol w:w="4407"/>
      </w:tblGrid>
      <w:tr>
        <w:trPr>
          <w:trHeight w:val="444"/>
        </w:trPr>
        <w:tc>
          <w:tcPr>
            <w:cnfStyle w:val="101000000000"/>
            <w:tcW w:w="4407" w:type="dxa"/>
          </w:tcPr>
          <w:p w14:paraId="00000038">
            <w:pPr>
              <w:jc w:val="center"/>
              <w:rPr/>
            </w:pPr>
            <w:r>
              <w:t>Глава администрации</w:t>
            </w:r>
          </w:p>
        </w:tc>
      </w:tr>
    </w:tbl>
    <w:p w14:paraId="00000039">
      <w:pPr>
        <w:ind w:firstLine="567"/>
        <w:jc w:val="both"/>
        <w:rPr/>
      </w:pPr>
      <w:r>
        <w:rPr/>
        <mc:AlternateContent>
          <mc:Choice Requires="wps">
            <w:drawing xmlns:mc="http://schemas.openxmlformats.org/markup-compatibility/2006">
              <wp:anchor allowOverlap="1" behindDoc="0" distT="0" distB="0" distL="114300" distR="114300" layoutInCell="1" locked="0" relativeHeight="251665408" simplePos="0">
                <wp:simplePos x="0" y="0"/>
                <wp:positionH relativeFrom="column">
                  <wp:posOffset>3802380</wp:posOffset>
                </wp:positionH>
                <wp:positionV relativeFrom="paragraph">
                  <wp:posOffset>-1905</wp:posOffset>
                </wp:positionV>
                <wp:extent cx="1395730" cy="400050"/>
                <wp:effectExtent l="0" t="0" r="2624" b="20208"/>
                <wp:wrapNone/>
                <wp:docPr id="14" name="AutoShape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Pr id="8" name="AutoShape 7"/>
                      <wps:cNvCnPr>
                        <a:cxnSpLocks noChangeShapeType="1"/>
                      </wps:cNvCnPr>
                      <wps:spPr>
                        <a:xfrm>
                          <a:off x="0" y="0"/>
                          <a:ext cx="1395730" cy="40005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tailEnd type="triangle" w="med" len="med"/>
                        </a:ln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7A3321D7-DEC9-E384-1DE0B047D376" coordsize="21600,21600" style="position:absolute;width:109.9pt;height:31.5pt;mso-width-percent:0;mso-width-relative:page;mso-height-percent:0;mso-height-relative:page;margin-top:-0.15pt;margin-left:299.4pt;mso-wrap-distance-left:9pt;mso-wrap-distance-right:9pt;mso-wrap-distance-top:0pt;mso-wrap-distance-bottom:0pt;rotation:0.000000;z-index:251665408;" strokecolor="#000000" strokeweight="0.75pt" o:spt="32" o:oned="t" path="m0,0 l21600,21600 e">
                <v:stroke color="#000000" filltype="solid" joinstyle="round" linestyle="single" mitterlimit="800000" weight="0.75pt"/>
                <w10:wrap side="both"/>
                <o:lock/>
              </v:shape>
            </w:pict>
          </mc:Fallback>
        </mc:AlternateContent>
      </w:r>
      <w:r>
        <w:rPr/>
        <mc:AlternateContent>
          <mc:Choice Requires="wps">
            <w:drawing xmlns:mc="http://schemas.openxmlformats.org/markup-compatibility/2006">
              <wp:anchor allowOverlap="1" behindDoc="0" distT="0" distB="0" distL="114300" distR="114300" layoutInCell="1" locked="0" relativeHeight="251664384" simplePos="0">
                <wp:simplePos x="0" y="0"/>
                <wp:positionH relativeFrom="column">
                  <wp:posOffset>3581400</wp:posOffset>
                </wp:positionH>
                <wp:positionV relativeFrom="paragraph">
                  <wp:posOffset>-1905</wp:posOffset>
                </wp:positionV>
                <wp:extent cx="335280" cy="400050"/>
                <wp:effectExtent l="0" t="0" r="7300" b="6118"/>
                <wp:wrapNone/>
                <wp:docPr id="15" name="AutoShape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Pr id="9" name="AutoShape 6"/>
                      <wps:cNvCnPr>
                        <a:cxnSpLocks noChangeShapeType="1"/>
                      </wps:cNvCnPr>
                      <wps:spPr>
                        <a:xfrm>
                          <a:off x="0" y="0"/>
                          <a:ext cx="335280" cy="40005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tailEnd type="triangle" w="med" len="med"/>
                        </a:ln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0CAF7406-6FBA-CBB5-B155DF0BD944" coordsize="21600,21600" style="position:absolute;width:26.4pt;height:31.5pt;mso-width-percent:0;mso-width-relative:page;mso-height-percent:0;mso-height-relative:page;margin-top:-0.15pt;margin-left:282pt;mso-wrap-distance-left:9pt;mso-wrap-distance-right:9pt;mso-wrap-distance-top:0pt;mso-wrap-distance-bottom:0pt;rotation:0.000000;z-index:251664384;" strokecolor="#000000" strokeweight="0.75pt" o:spt="32" o:oned="t" path="m0,0 l21600,21600 e">
                <v:stroke color="#000000" filltype="solid" joinstyle="round" linestyle="single" mitterlimit="800000" weight="0.75pt"/>
                <w10:wrap side="both"/>
                <o:lock/>
              </v:shape>
            </w:pict>
          </mc:Fallback>
        </mc:AlternateContent>
      </w:r>
      <w:r>
        <w:rPr/>
        <mc:AlternateContent>
          <mc:Choice Requires="wps">
            <w:drawing xmlns:mc="http://schemas.openxmlformats.org/markup-compatibility/2006">
              <wp:anchor allowOverlap="1" behindDoc="0" distT="0" distB="0" distL="114300" distR="114300" layoutInCell="1" locked="0" relativeHeight="251663360" simplePos="0">
                <wp:simplePos x="0" y="0"/>
                <wp:positionH relativeFrom="column">
                  <wp:posOffset>2814320</wp:posOffset>
                </wp:positionH>
                <wp:positionV relativeFrom="paragraph">
                  <wp:posOffset>-1905</wp:posOffset>
                </wp:positionV>
                <wp:extent cx="122555" cy="400050"/>
                <wp:effectExtent l="0" t="0" r="18663" b="2790"/>
                <wp:wrapNone/>
                <wp:docPr id="16" name="AutoShape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Pr id="10" name="AutoShape 5"/>
                      <wps:cNvCnPr>
                        <a:cxnSpLocks noChangeShapeType="1"/>
                      </wps:cNvCnPr>
                      <wps:spPr>
                        <a:xfrm>
                          <a:off x="0" y="0"/>
                          <a:ext cx="122555" cy="40005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tailEnd type="triangle" w="med" len="med"/>
                        </a:ln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2CC42127-B71C-E821-0FC4FF95A073" coordsize="21600,21600" style="position:absolute;width:9.65pt;height:31.5pt;mso-width-percent:0;mso-width-relative:page;mso-height-percent:0;mso-height-relative:page;margin-top:-0.15pt;margin-left:221.6pt;mso-wrap-distance-left:9pt;mso-wrap-distance-right:9pt;mso-wrap-distance-top:0pt;mso-wrap-distance-bottom:0pt;rotation:0.000000;z-index:251663360;" strokecolor="#000000" strokeweight="0.75pt" o:spt="32" o:oned="t" path="m0,0 l21600,21600 e">
                <v:stroke color="#000000" filltype="solid" joinstyle="round" linestyle="single" mitterlimit="800000" weight="0.75pt"/>
                <w10:wrap side="both"/>
                <o:lock/>
              </v:shape>
            </w:pict>
          </mc:Fallback>
        </mc:AlternateContent>
      </w:r>
      <w:r>
        <w:rPr/>
        <mc:AlternateContent>
          <mc:Choice Requires="wps">
            <w:drawing xmlns:mc="http://schemas.openxmlformats.org/markup-compatibility/2006">
              <wp:anchor allowOverlap="1" behindDoc="0" distT="0" distB="0" distL="114300" distR="114300" layoutInCell="1" locked="0" relativeHeight="251662336" simplePos="0">
                <wp:simplePos x="0" y="0"/>
                <wp:positionH relativeFrom="column">
                  <wp:posOffset>1997710</wp:posOffset>
                </wp:positionH>
                <wp:positionV relativeFrom="paragraph">
                  <wp:posOffset>-1905</wp:posOffset>
                </wp:positionV>
                <wp:extent cx="302260" cy="400050"/>
                <wp:effectExtent l="0" t="0" r="7600" b="5742"/>
                <wp:wrapNone/>
                <wp:docPr id="17" name="AutoShap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Pr id="11" name="AutoShape 4"/>
                      <wps:cNvCnPr>
                        <a:cxnSpLocks noChangeShapeType="1"/>
                      </wps:cNvCnPr>
                      <wps:spPr>
                        <a:xfrm flipH="1">
                          <a:off x="0" y="0"/>
                          <a:ext cx="302260" cy="40005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tailEnd type="triangle" w="med" len="med"/>
                        </a:ln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B159F8E1-536B-4BBA-1F5809E9C332" coordsize="21600,21600" style="flip:x;position:absolute;width:23.8pt;height:31.5pt;mso-width-percent:0;mso-width-relative:page;mso-height-percent:0;mso-height-relative:page;margin-top:-0.15pt;margin-left:157.3pt;mso-wrap-distance-left:9pt;mso-wrap-distance-right:9pt;mso-wrap-distance-top:0pt;mso-wrap-distance-bottom:0pt;rotation:0.000000;z-index:251662336;" strokecolor="#000000" strokeweight="0.75pt" o:spt="32" o:oned="t" path="m0,0 l21600,21600 e">
                <v:stroke color="#000000" filltype="solid" joinstyle="round" linestyle="single" mitterlimit="800000" weight="0.75pt"/>
                <w10:wrap side="both"/>
                <o:lock/>
              </v:shape>
            </w:pict>
          </mc:Fallback>
        </mc:AlternateContent>
      </w:r>
      <w:r>
        <w:rPr/>
        <mc:AlternateContent>
          <mc:Choice Requires="wps">
            <w:drawing xmlns:mc="http://schemas.openxmlformats.org/markup-compatibility/2006">
              <wp:anchor allowOverlap="1" behindDoc="0" distT="0" distB="0" distL="114300" distR="114300" layoutInCell="1" locked="0" relativeHeight="251661312" simplePos="0">
                <wp:simplePos x="0" y="0"/>
                <wp:positionH relativeFrom="column">
                  <wp:posOffset>438150</wp:posOffset>
                </wp:positionH>
                <wp:positionV relativeFrom="paragraph">
                  <wp:posOffset>-1905</wp:posOffset>
                </wp:positionV>
                <wp:extent cx="1445260" cy="400050"/>
                <wp:effectExtent l="0" t="0" r="2541" b="20981"/>
                <wp:wrapNone/>
                <wp:docPr id="18" name="AutoShap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Pr id="12" name="AutoShape 3"/>
                      <wps:cNvCnPr>
                        <a:cxnSpLocks noChangeShapeType="1"/>
                      </wps:cNvCnPr>
                      <wps:spPr>
                        <a:xfrm flipH="1">
                          <a:off x="0" y="0"/>
                          <a:ext cx="1445260" cy="40005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tailEnd type="triangle" w="med" len="med"/>
                        </a:ln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B35409A2-F82B-4507-4AAF371E2BED" coordsize="21600,21600" style="flip:x;position:absolute;width:113.8pt;height:31.5pt;mso-width-percent:0;mso-width-relative:page;mso-height-percent:0;mso-height-relative:page;margin-top:-0.15pt;margin-left:34.5pt;mso-wrap-distance-left:9pt;mso-wrap-distance-right:9pt;mso-wrap-distance-top:0pt;mso-wrap-distance-bottom:0pt;rotation:0.000000;z-index:251661312;" strokecolor="#000000" strokeweight="0.75pt" o:spt="32" o:oned="t" path="m0,0 l21600,21600 e">
                <v:stroke color="#000000" filltype="solid" joinstyle="round" linestyle="single" mitterlimit="800000" weight="0.75pt"/>
                <w10:wrap side="both"/>
                <o:lock/>
              </v:shape>
            </w:pict>
          </mc:Fallback>
        </mc:AlternateContent>
      </w:r>
    </w:p>
    <w:p w14:paraId="0000003A">
      <w:pPr>
        <w:jc w:val="center"/>
        <w:rPr/>
      </w:pPr>
    </w:p>
    <w:tbl>
      <w:tblPr>
        <w:tblStyle w:val="TableGrid"/>
        <w:tblW w:w="0" w:type="auto"/>
        <w:tblLook w:val="04A0"/>
      </w:tblPr>
      <w:tblGrid>
        <w:gridCol w:w="1924"/>
        <w:gridCol w:w="1787"/>
        <w:gridCol w:w="1787"/>
        <w:gridCol w:w="1787"/>
        <w:gridCol w:w="2116"/>
      </w:tblGrid>
      <w:tr>
        <w:trPr/>
        <w:tc>
          <w:tcPr>
            <w:cnfStyle w:val="101000000000"/>
            <w:tcW w:w="1914" w:type="dxa"/>
          </w:tcPr>
          <w:p w14:paraId="0000003B">
            <w:pPr>
              <w:jc w:val="both"/>
              <w:rPr/>
            </w:pPr>
            <w:r>
              <w:t>Муниципальные должности -</w:t>
            </w:r>
            <w:r>
              <w:t>2,85</w:t>
            </w:r>
            <w:r>
              <w:t xml:space="preserve"> ставки</w:t>
            </w:r>
          </w:p>
        </w:tc>
        <w:tc>
          <w:tcPr>
            <w:cnfStyle w:val="100000000000"/>
            <w:tcW w:w="1914" w:type="dxa"/>
          </w:tcPr>
          <w:p w14:paraId="0000003C">
            <w:pPr>
              <w:jc w:val="both"/>
              <w:rPr/>
            </w:pPr>
          </w:p>
        </w:tc>
        <w:tc>
          <w:tcPr>
            <w:cnfStyle w:val="100000000000"/>
            <w:tcW w:w="1914" w:type="dxa"/>
          </w:tcPr>
          <w:p w14:paraId="0000003D">
            <w:pPr>
              <w:jc w:val="both"/>
              <w:rPr/>
            </w:pPr>
            <w:r>
              <w:t>Технического персонала- 2 ставки</w:t>
            </w:r>
          </w:p>
        </w:tc>
        <w:tc>
          <w:tcPr>
            <w:cnfStyle w:val="100000000000"/>
            <w:tcW w:w="1914" w:type="dxa"/>
          </w:tcPr>
          <w:p w14:paraId="0000003E">
            <w:pPr>
              <w:jc w:val="both"/>
              <w:rPr/>
            </w:pPr>
          </w:p>
        </w:tc>
        <w:tc>
          <w:tcPr>
            <w:cnfStyle w:val="100000000000"/>
            <w:tcW w:w="1915" w:type="dxa"/>
          </w:tcPr>
          <w:p w14:paraId="0000003F">
            <w:pPr>
              <w:jc w:val="both"/>
              <w:rPr/>
            </w:pPr>
            <w:r>
              <w:t xml:space="preserve">Вспомогательного персонала – 4 ставки </w:t>
            </w:r>
          </w:p>
        </w:tc>
      </w:tr>
    </w:tbl>
    <w:p w14:paraId="00000040">
      <w:pPr>
        <w:jc w:val="right"/>
        <w:rPr>
          <w:rFonts w:ascii="Arial" w:cs="Arial" w:hAnsi="Arial"/>
        </w:rPr>
      </w:pPr>
    </w:p>
    <w:sectPr>
      <w:pgSz w:w="11906" w:h="16838"/>
      <w:pgMar w:top="851" w:right="794" w:bottom="851" w:left="1701" w:header="709" w:footer="709" w:gutter="0"/>
      <w:cols w:space="708"/>
      <w:titlePg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Arial Unicode MS">
    <w:altName w:val="Yu Gothic"/>
    <w:panose1 w:val="020b0604020202020204"/>
    <w:charset w:val="80"/>
    <w:family w:val="swiss"/>
    <w:pitch w:val="variable"/>
    <w:sig w:usb0="00000000" w:usb1="00000000" w:usb2="0000003f" w:usb3="00000000" w:csb0="003f01ff" w:csb1="00000000"/>
  </w:font>
  <w:font w:name="Times New Roman">
    <w:panose1 w:val="02020603050405020304"/>
    <w:charset w:val="cc"/>
    <w:family w:val="roman"/>
    <w:pitch w:val="variable"/>
    <w:sig w:usb0="00000000" w:usb1="00000000" w:usb2="00000009" w:usb3="00000000" w:csb0="000001ff" w:csb1="00000000"/>
  </w:font>
  <w:font w:name="Calibri">
    <w:panose1 w:val="020f0502020204030204"/>
    <w:charset w:val="cc"/>
    <w:family w:val="swiss"/>
    <w:pitch w:val="variable"/>
    <w:sig w:usb0="00000000" w:usb1="00000000" w:usb2="00000009" w:usb3="00000000" w:csb0="000001ff" w:csb1="00000000"/>
  </w:font>
  <w:font w:name="Arial">
    <w:panose1 w:val="020b0604020202020204"/>
    <w:charset w:val="cc"/>
    <w:family w:val="swiss"/>
    <w:pitch w:val="variable"/>
    <w:sig w:usb0="00000000" w:usb1="00000000" w:usb2="00000009" w:usb3="00000000" w:csb0="000001ff" w:csb1="00000000"/>
  </w:font>
  <w:font w:name="Cambria">
    <w:panose1 w:val="02040503050406030204"/>
    <w:charset w:val="cc"/>
    <w:family w:val="roman"/>
    <w:pitch w:val="variable"/>
    <w:sig w:usb0="00000000" w:usb1="420024ff" w:usb2="02000000" w:usb3="00000000" w:csb0="0000019f" w:csb1="00000000"/>
  </w:font>
  <w:font w:name="Courier New">
    <w:panose1 w:val="02070309020205020404"/>
    <w:charset w:val="00"/>
    <w:family w:val="modern"/>
    <w:pitch w:val="fixed"/>
    <w:sig w:usb0="00000000" w:usb1="00000000" w:usb2="00000009" w:usb3="00000000" w:csb0="000001ff" w:csb1="00000000"/>
  </w:font>
  <w:font w:name="Tahoma">
    <w:panose1 w:val="020b0604030504040204"/>
    <w:charset w:val="00"/>
    <w:family w:val="roman"/>
    <w:pitch w:val="variable"/>
    <w:sig w:usb0="61002a87" w:usb1="00000000" w:usb2="00000008" w:usb3="00000000" w:csb0="000001ff" w:csb1="00000000"/>
  </w:font>
  <w:font w:name="Verdana">
    <w:panose1 w:val="020b0604030504040204"/>
    <w:charset w:val="00"/>
    <w:family w:val="roman"/>
    <w:pitch w:val="variable"/>
    <w:sig w:usb0="00000000" w:usb1="4000205b" w:usb2="00000010" w:usb3="00000000" w:csb0="0000019f" w:csb1="00000000"/>
  </w:font>
  <w:font w:name="Symbol">
    <w:panose1 w:val="05050102010706020507"/>
    <w:charset w:val="02"/>
    <w:family w:val="roman"/>
    <w:notTrueType w:val="on"/>
    <w:pitch w:val="variable"/>
  </w:font>
  <w:font w:name="Wingdings">
    <w:panose1 w:val="05000000000000000000"/>
    <w:charset w:val="02"/>
    <w:family w:val="auto"/>
    <w:notTrueType w:val="on"/>
    <w:pitch w:val="variable"/>
  </w:font>
  <w:font w:name="Helvetica Neue">
    <w:charset w:val="00"/>
    <w:family w:val="swiss"/>
    <w:pitch w:val="variable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drawingGridHorizontalSpacing w:val="120"/>
  <w:displayHorizontalDrawingGridEvery w:val="2"/>
  <w:displayVerticalDrawingGridEvery w:val="2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24C53"/>
    <w:rsid w:val="00001238"/>
    <w:rsid w:val="0004701D"/>
    <w:rsid w:val="00081745"/>
    <w:rsid w:val="00115332"/>
    <w:rsid w:val="001304F3"/>
    <w:rsid w:val="00132568"/>
    <w:rsid w:val="00151168"/>
    <w:rsid w:val="00151898"/>
    <w:rsid w:val="0016640E"/>
    <w:rsid w:val="001C1A71"/>
    <w:rsid w:val="001F270A"/>
    <w:rsid w:val="001F293B"/>
    <w:rsid w:val="0020002C"/>
    <w:rsid w:val="00284B12"/>
    <w:rsid w:val="002C3E89"/>
    <w:rsid w:val="002F10F1"/>
    <w:rsid w:val="003176A3"/>
    <w:rsid w:val="003232E4"/>
    <w:rsid w:val="00362CD2"/>
    <w:rsid w:val="003C10C4"/>
    <w:rsid w:val="00432DF3"/>
    <w:rsid w:val="00454A5C"/>
    <w:rsid w:val="004D70C2"/>
    <w:rsid w:val="004F5A36"/>
    <w:rsid w:val="005112B4"/>
    <w:rsid w:val="00582C1D"/>
    <w:rsid w:val="0058568A"/>
    <w:rsid w:val="0059046C"/>
    <w:rsid w:val="00651A91"/>
    <w:rsid w:val="00720B1E"/>
    <w:rsid w:val="0072222A"/>
    <w:rsid w:val="00723105"/>
    <w:rsid w:val="00724C53"/>
    <w:rsid w:val="00731306"/>
    <w:rsid w:val="00734778"/>
    <w:rsid w:val="0074083A"/>
    <w:rsid w:val="007E4CCC"/>
    <w:rsid w:val="00843B27"/>
    <w:rsid w:val="008B19F3"/>
    <w:rsid w:val="008F36BA"/>
    <w:rsid w:val="0090504D"/>
    <w:rsid w:val="00917CB7"/>
    <w:rsid w:val="00945D81"/>
    <w:rsid w:val="00A2602D"/>
    <w:rsid w:val="00A41B54"/>
    <w:rsid w:val="00BB4F33"/>
    <w:rsid w:val="00BC5493"/>
    <w:rsid w:val="00BE242F"/>
    <w:rsid w:val="00BF36A1"/>
    <w:rsid w:val="00C41025"/>
    <w:rsid w:val="00C4758C"/>
    <w:rsid w:val="00C63C62"/>
    <w:rsid w:val="00D90362"/>
    <w:rsid w:val="00D97901"/>
    <w:rsid w:val="00DC4479"/>
    <w:rsid w:val="00DC4B66"/>
    <w:rsid w:val="00DF538F"/>
    <w:rsid w:val="00E515CC"/>
    <w:rsid w:val="00ED2FFA"/>
    <w:rsid w:val="00ED48BF"/>
    <w:rsid w:val="00EF2BC3"/>
    <w:rsid w:val="00F336CE"/>
    <w:rsid w:val="00F6527B"/>
    <w:rsid w:val="00FC34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77749D5"/>
  <w15:docId w15:val="{7A3765E3-C1F0-43D7-B38B-DAFED0B35D20}"/>
  <w:footnotePr/>
  <w:endnotePr/>
</w:settings>
</file>

<file path=word/styles.xml><?xml version="1.0" encoding="utf-8"?>
<w:styles xmlns:r="http://schemas.openxmlformats.org/officeDocument/2006/relationships" xmlns:w14="http://schemas.microsoft.com/office/word/2010/wordml" xmlns:w="http://schemas.openxmlformats.org/wordprocessingml/2006/main">
  <w:docDefaults>
    <w:rPrDefault>
      <w:rPr>
        <w:rFonts w:ascii="Arial Unicode MS" w:cs="Arial Unicode MS" w:eastAsia="Arial Unicode MS" w:hAnsi="Arial Unicode MS"/>
        <w:sz w:val="24"/>
        <w:szCs w:val="24"/>
        <w:lang w:val="ru-RU" w:bidi="ru-RU" w:eastAsia="ru-RU"/>
      </w:rPr>
    </w:rPrDefault>
    <w:pPrDefault>
      <w:pPr>
        <w:widowControl w:val="off"/>
      </w:pPr>
    </w:pPrDefault>
  </w:docDefaults>
  <w:style w:type="paragraph" w:styleId="Heading1">
    <w:name w:val="Heading 1"/>
    <w:link w:val="Heading1Char"/>
    <w:uiPriority w:val="9"/>
    <w:qFormat w:val="on"/>
    <w:pPr>
      <w:keepNext w:val="on"/>
      <w:keepLines w:val="on"/>
      <w:spacing w:before="480" w:after="0"/>
    </w:pPr>
    <w:rPr>
      <w:rFonts w:asciiTheme="majorHAnsi" w:cstheme="majorBidi" w:eastAsiaTheme="majorEastAsia" w:hAnsiTheme="majorHAnsi"/>
      <w:b/>
      <w:bCs/>
      <w:color w:val="376091" w:themeColor="accent1" w:themeShade="bf"/>
      <w:sz w:val="28"/>
      <w:szCs w:val="28"/>
    </w:rPr>
  </w:style>
  <w:style w:type="paragraph" w:styleId="Heading2">
    <w:name w:val="Heading 2"/>
    <w:link w:val="Heading2Char"/>
    <w:uiPriority w:val="9"/>
    <w:semiHidden w:val="on"/>
    <w:unhideWhenUsed w:val="on"/>
    <w:qFormat w:val="on"/>
    <w:pPr>
      <w:keepNext w:val="on"/>
      <w:keepLines w:val="on"/>
      <w:spacing w:before="200" w:after="0"/>
    </w:pPr>
    <w:rPr>
      <w:rFonts w:asciiTheme="majorHAnsi" w:cstheme="majorBidi" w:eastAsiaTheme="majorEastAsia" w:hAnsiTheme="majorHAnsi"/>
      <w:b/>
      <w:bCs/>
      <w:color w:val="4f81bd" w:themeColor="accent1"/>
      <w:sz w:val="26"/>
      <w:szCs w:val="26"/>
    </w:rPr>
  </w:style>
  <w:style w:type="paragraph" w:styleId="Heading3">
    <w:name w:val="Heading 3"/>
    <w:link w:val="Heading3Char"/>
    <w:uiPriority w:val="9"/>
    <w:semiHidden w:val="on"/>
    <w:unhideWhenUsed w:val="on"/>
    <w:qFormat w:val="on"/>
    <w:pPr>
      <w:keepNext w:val="on"/>
      <w:keepLines w:val="on"/>
      <w:spacing w:before="200" w:after="0"/>
    </w:pPr>
    <w:rPr>
      <w:rFonts w:asciiTheme="majorHAnsi" w:cstheme="majorBidi" w:eastAsiaTheme="majorEastAsia" w:hAnsiTheme="majorHAnsi"/>
      <w:b/>
      <w:bCs/>
      <w:color w:val="4f81bd" w:themeColor="accent1"/>
    </w:rPr>
  </w:style>
  <w:style w:type="paragraph" w:styleId="Heading4">
    <w:name w:val="Heading 4"/>
    <w:link w:val="Heading4Char"/>
    <w:uiPriority w:val="9"/>
    <w:semiHidden w:val="on"/>
    <w:unhideWhenUsed w:val="on"/>
    <w:qFormat w:val="on"/>
    <w:pPr>
      <w:keepNext w:val="on"/>
      <w:keepLines w:val="on"/>
      <w:spacing w:before="200" w:after="0"/>
    </w:pPr>
    <w:rPr>
      <w:rFonts w:asciiTheme="majorHAnsi" w:cstheme="majorBidi" w:eastAsiaTheme="majorEastAsia" w:hAnsiTheme="majorHAnsi"/>
      <w:b/>
      <w:bCs/>
      <w:i/>
      <w:iCs/>
      <w:color w:val="4f81bd" w:themeColor="accent1"/>
    </w:rPr>
  </w:style>
  <w:style w:type="paragraph" w:styleId="Heading5">
    <w:name w:val="Heading 5"/>
    <w:link w:val="Heading5Char"/>
    <w:uiPriority w:val="9"/>
    <w:semiHidden w:val="on"/>
    <w:unhideWhenUsed w:val="on"/>
    <w:qFormat w:val="on"/>
    <w:pPr>
      <w:keepNext w:val="on"/>
      <w:keepLines w:val="on"/>
      <w:spacing w:before="200" w:after="0"/>
    </w:pPr>
    <w:rPr>
      <w:rFonts w:asciiTheme="majorHAnsi" w:cstheme="majorBidi" w:eastAsiaTheme="majorEastAsia" w:hAnsiTheme="majorHAnsi"/>
      <w:color w:val="243f60" w:themeColor="accent1" w:themeShade="7f"/>
    </w:rPr>
  </w:style>
  <w:style w:type="paragraph" w:styleId="Heading6">
    <w:name w:val="Heading 6"/>
    <w:link w:val="Heading6Char"/>
    <w:uiPriority w:val="9"/>
    <w:semiHidden w:val="on"/>
    <w:unhideWhenUsed w:val="on"/>
    <w:qFormat w:val="on"/>
    <w:pPr>
      <w:keepNext w:val="on"/>
      <w:keepLines w:val="on"/>
      <w:spacing w:before="200" w:after="0"/>
    </w:pPr>
    <w:rPr>
      <w:rFonts w:asciiTheme="majorHAnsi" w:cstheme="majorBidi" w:eastAsiaTheme="majorEastAsia" w:hAnsiTheme="majorHAnsi"/>
      <w:i/>
      <w:iCs/>
      <w:color w:val="243f60" w:themeColor="accent1" w:themeShade="7f"/>
    </w:rPr>
  </w:style>
  <w:style w:type="paragraph" w:styleId="Heading7">
    <w:name w:val="Heading 7"/>
    <w:link w:val="Heading7Char"/>
    <w:uiPriority w:val="9"/>
    <w:semiHidden w:val="on"/>
    <w:unhideWhenUsed w:val="on"/>
    <w:qFormat w:val="on"/>
    <w:pPr>
      <w:keepNext w:val="on"/>
      <w:keepLines w:val="on"/>
      <w:spacing w:before="200" w:after="0"/>
    </w:pPr>
    <w:rPr>
      <w:rFonts w:asciiTheme="majorHAnsi" w:cstheme="majorBidi" w:eastAsiaTheme="majorEastAsia" w:hAnsiTheme="majorHAnsi"/>
      <w:i/>
      <w:iCs/>
      <w:color w:val="404040" w:themeColor="text1" w:themeTint="bf"/>
    </w:rPr>
  </w:style>
  <w:style w:type="paragraph" w:styleId="Heading8">
    <w:name w:val="Heading 8"/>
    <w:link w:val="Heading8Char"/>
    <w:uiPriority w:val="9"/>
    <w:semiHidden w:val="on"/>
    <w:unhideWhenUsed w:val="on"/>
    <w:qFormat w:val="on"/>
    <w:pPr>
      <w:keepNext w:val="on"/>
      <w:keepLines w:val="on"/>
      <w:spacing w:before="200" w:after="0"/>
    </w:pPr>
    <w:rPr>
      <w:rFonts w:asciiTheme="majorHAnsi" w:cstheme="majorBidi" w:eastAsiaTheme="majorEastAsia" w:hAnsiTheme="majorHAnsi"/>
      <w:color w:val="404040" w:themeColor="text1" w:themeTint="bf"/>
      <w:sz w:val="20"/>
      <w:szCs w:val="20"/>
    </w:rPr>
  </w:style>
  <w:style w:type="paragraph" w:styleId="Heading9">
    <w:name w:val="Heading 9"/>
    <w:link w:val="Heading9Char"/>
    <w:uiPriority w:val="9"/>
    <w:semiHidden w:val="on"/>
    <w:unhideWhenUsed w:val="on"/>
    <w:qFormat w:val="on"/>
    <w:pPr>
      <w:keepNext w:val="on"/>
      <w:keepLines w:val="on"/>
      <w:spacing w:before="200" w:after="0"/>
    </w:pPr>
    <w:rPr>
      <w:rFonts w:asciiTheme="majorHAnsi" w:cstheme="majorBidi" w:eastAsiaTheme="majorEastAsia" w:hAnsiTheme="majorHAnsi"/>
      <w:i/>
      <w:iCs/>
      <w:color w:val="404040" w:themeColor="text1" w:themeTint="bf"/>
      <w:sz w:val="20"/>
      <w:szCs w:val="20"/>
    </w:rPr>
  </w:style>
  <w:style w:type="paragraph" w:styleId="NoSpacing">
    <w:name w:val="No Spacing"/>
    <w:uiPriority w:val="1"/>
    <w:qFormat w:val="on"/>
    <w:pPr>
      <w:spacing w:after="0" w:line="240" w:lineRule="auto"/>
    </w:pPr>
  </w:style>
  <w:style w:type="character" w:customStyle="1" w:styleId="Heading1Char">
    <w:name w:val="Heading 1 Char"/>
    <w:link w:val="Heading1"/>
    <w:uiPriority w:val="9"/>
    <w:rPr>
      <w:rFonts w:asciiTheme="majorHAnsi" w:cstheme="majorBidi" w:eastAsiaTheme="majorEastAsia" w:hAnsiTheme="majorHAnsi"/>
      <w:b/>
      <w:bCs/>
      <w:color w:val="376091" w:themeColor="accent1" w:themeShade="bf"/>
      <w:sz w:val="28"/>
      <w:szCs w:val="28"/>
    </w:rPr>
  </w:style>
  <w:style w:type="character" w:customStyle="1" w:styleId="Heading2Char">
    <w:name w:val="Heading 2 Char"/>
    <w:link w:val="Heading2"/>
    <w:uiPriority w:val="9"/>
    <w:rPr>
      <w:rFonts w:asciiTheme="majorHAnsi" w:cstheme="majorBidi" w:eastAsiaTheme="majorEastAsia" w:hAnsiTheme="majorHAns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link w:val="Heading3"/>
    <w:uiPriority w:val="9"/>
    <w:rPr>
      <w:rFonts w:asciiTheme="majorHAnsi" w:cstheme="majorBidi" w:eastAsiaTheme="majorEastAsia" w:hAnsiTheme="majorHAnsi"/>
      <w:b/>
      <w:bCs/>
      <w:color w:val="4f81bd" w:themeColor="accent1"/>
    </w:rPr>
  </w:style>
  <w:style w:type="character" w:customStyle="1" w:styleId="Heading4Char">
    <w:name w:val="Heading 4 Char"/>
    <w:link w:val="Heading4"/>
    <w:uiPriority w:val="9"/>
    <w:rPr>
      <w:rFonts w:asciiTheme="majorHAnsi" w:cstheme="majorBidi" w:eastAsiaTheme="majorEastAsia" w:hAnsiTheme="majorHAnsi"/>
      <w:b/>
      <w:bCs/>
      <w:i/>
      <w:iCs/>
      <w:color w:val="4f81bd" w:themeColor="accent1"/>
    </w:rPr>
  </w:style>
  <w:style w:type="character" w:customStyle="1" w:styleId="Heading5Char">
    <w:name w:val="Heading 5 Char"/>
    <w:link w:val="Heading5"/>
    <w:uiPriority w:val="9"/>
    <w:rPr>
      <w:rFonts w:asciiTheme="majorHAnsi" w:cstheme="majorBidi" w:eastAsiaTheme="majorEastAsia" w:hAnsiTheme="majorHAnsi"/>
      <w:color w:val="243f60" w:themeColor="accent1" w:themeShade="7f"/>
    </w:rPr>
  </w:style>
  <w:style w:type="character" w:customStyle="1" w:styleId="Heading6Char">
    <w:name w:val="Heading 6 Char"/>
    <w:link w:val="Heading6"/>
    <w:uiPriority w:val="9"/>
    <w:rPr>
      <w:rFonts w:asciiTheme="majorHAnsi" w:cstheme="majorBidi" w:eastAsiaTheme="majorEastAsia" w:hAnsiTheme="majorHAnsi"/>
      <w:i/>
      <w:iCs/>
      <w:color w:val="243f60" w:themeColor="accent1" w:themeShade="7f"/>
    </w:rPr>
  </w:style>
  <w:style w:type="character" w:customStyle="1" w:styleId="Heading7Char">
    <w:name w:val="Heading 7 Char"/>
    <w:link w:val="Heading7"/>
    <w:uiPriority w:val="9"/>
    <w:rPr>
      <w:rFonts w:asciiTheme="majorHAnsi" w:cstheme="majorBidi" w:eastAsiaTheme="majorEastAsia" w:hAnsiTheme="majorHAnsi"/>
      <w:i/>
      <w:iCs/>
      <w:color w:val="404040" w:themeColor="text1" w:themeTint="bf"/>
    </w:rPr>
  </w:style>
  <w:style w:type="character" w:customStyle="1" w:styleId="Heading8Char">
    <w:name w:val="Heading 8 Char"/>
    <w:link w:val="Heading8"/>
    <w:uiPriority w:val="9"/>
    <w:rPr>
      <w:rFonts w:asciiTheme="majorHAnsi" w:cstheme="majorBidi" w:eastAsiaTheme="majorEastAsia" w:hAnsiTheme="majorHAnsi"/>
      <w:color w:val="404040" w:themeColor="text1" w:themeTint="bf"/>
      <w:sz w:val="20"/>
      <w:szCs w:val="20"/>
    </w:rPr>
  </w:style>
  <w:style w:type="character" w:customStyle="1" w:styleId="Heading9Char">
    <w:name w:val="Heading 9 Char"/>
    <w:link w:val="Heading9"/>
    <w:uiPriority w:val="9"/>
    <w:rPr>
      <w:rFonts w:asciiTheme="majorHAnsi" w:cstheme="majorBidi" w:eastAsiaTheme="majorEastAsia" w:hAnsiTheme="majorHAnsi"/>
      <w:i/>
      <w:iCs/>
      <w:color w:val="404040" w:themeColor="text1" w:themeTint="bf"/>
      <w:sz w:val="20"/>
      <w:szCs w:val="20"/>
    </w:rPr>
  </w:style>
  <w:style w:type="paragraph" w:styleId="Title">
    <w:name w:val="Title"/>
    <w:link w:val="TitleChar"/>
    <w:uiPriority w:val="10"/>
    <w:qFormat w:val="on"/>
    <w:pPr>
      <w:pBdr>
        <w:bottom w:val="single" w:color="4f81bd" w:themeColor="accent1" w:sz="8" w:space="4"/>
      </w:pBdr>
      <w:spacing w:after="300" w:line="240" w:lineRule="auto"/>
      <w:contextualSpacing w:val="on"/>
    </w:pPr>
    <w:rPr>
      <w:rFonts w:asciiTheme="majorHAnsi" w:cstheme="majorBidi" w:eastAsiaTheme="majorEastAsia" w:hAnsiTheme="majorHAnsi"/>
      <w:color w:val="17375d" w:themeColor="text2" w:themeShade="bf"/>
      <w:spacing w:val="5"/>
      <w:sz w:val="52"/>
      <w:szCs w:val="52"/>
    </w:rPr>
  </w:style>
  <w:style w:type="character" w:customStyle="1" w:styleId="TitleChar">
    <w:name w:val="Title Char"/>
    <w:link w:val="Title"/>
    <w:uiPriority w:val="10"/>
    <w:rPr>
      <w:rFonts w:asciiTheme="majorHAnsi" w:cstheme="majorBidi" w:eastAsiaTheme="majorEastAsia" w:hAnsiTheme="majorHAnsi"/>
      <w:color w:val="17375d" w:themeColor="text2" w:themeShade="bf"/>
      <w:spacing w:val="5"/>
      <w:sz w:val="52"/>
      <w:szCs w:val="52"/>
    </w:rPr>
  </w:style>
  <w:style w:type="paragraph" w:styleId="Subtitle">
    <w:name w:val="Subtitle"/>
    <w:link w:val="SubtitleChar"/>
    <w:uiPriority w:val="11"/>
    <w:qFormat w:val="on"/>
    <w:pPr/>
    <w:rPr>
      <w:rFonts w:asciiTheme="majorHAnsi" w:cstheme="majorBidi" w:eastAsiaTheme="majorEastAsia" w:hAnsiTheme="majorHAnsi"/>
      <w:i/>
      <w:iCs/>
      <w:color w:val="4f81bd" w:themeColor="accent1"/>
      <w:spacing w:val="15"/>
      <w:sz w:val="24"/>
      <w:szCs w:val="24"/>
    </w:rPr>
  </w:style>
  <w:style w:type="character" w:customStyle="1" w:styleId="SubtitleChar">
    <w:name w:val="Subtitle Char"/>
    <w:link w:val="Subtitle"/>
    <w:uiPriority w:val="11"/>
    <w:rPr>
      <w:rFonts w:asciiTheme="majorHAnsi" w:cstheme="majorBidi" w:eastAsiaTheme="majorEastAsia" w:hAnsiTheme="majorHAnsi"/>
      <w:i/>
      <w:iCs/>
      <w:color w:val="4f81bd" w:themeColor="accent1"/>
      <w:spacing w:val="15"/>
      <w:sz w:val="24"/>
      <w:szCs w:val="24"/>
    </w:rPr>
  </w:style>
  <w:style w:type="character" w:styleId="SubtleEmphasis">
    <w:name w:val="Subtle Emphasis"/>
    <w:uiPriority w:val="19"/>
    <w:qFormat w:val="on"/>
    <w:rPr>
      <w:i/>
      <w:iCs/>
      <w:color w:val="808080" w:themeColor="text1" w:themeTint="7f"/>
    </w:rPr>
  </w:style>
  <w:style w:type="character" w:styleId="Emphasis">
    <w:name w:val="Emphasis"/>
    <w:uiPriority w:val="20"/>
    <w:qFormat w:val="on"/>
    <w:rPr>
      <w:i/>
      <w:iCs/>
    </w:rPr>
  </w:style>
  <w:style w:type="character" w:styleId="IntenseEmphasis">
    <w:name w:val="Intense Emphasis"/>
    <w:uiPriority w:val="21"/>
    <w:qFormat w:val="on"/>
    <w:rPr>
      <w:b/>
      <w:bCs/>
      <w:i/>
      <w:iCs/>
      <w:color w:val="4f81bd" w:themeColor="accent1"/>
    </w:rPr>
  </w:style>
  <w:style w:type="character" w:styleId="Strong">
    <w:name w:val="Strong"/>
    <w:uiPriority w:val="22"/>
    <w:qFormat w:val="on"/>
    <w:rPr>
      <w:b/>
      <w:bCs/>
    </w:rPr>
  </w:style>
  <w:style w:type="paragraph" w:styleId="Quote">
    <w:name w:val="Quote"/>
    <w:link w:val="QuoteChar"/>
    <w:uiPriority w:val="29"/>
    <w:qFormat w:val="on"/>
    <w:rPr>
      <w:i/>
      <w:iCs/>
      <w:color w:val="000000" w:themeColor="text1"/>
    </w:rPr>
  </w:style>
  <w:style w:type="character" w:customStyle="1" w:styleId="QuoteChar">
    <w:name w:val="Quote Char"/>
    <w:link w:val="Quote"/>
    <w:uiPriority w:val="29"/>
    <w:rPr>
      <w:i/>
      <w:iCs/>
      <w:color w:val="000000" w:themeColor="text1"/>
    </w:rPr>
  </w:style>
  <w:style w:type="paragraph" w:styleId="IntenseQuote">
    <w:name w:val="Intense Quote"/>
    <w:link w:val="IntenseQuoteChar"/>
    <w:uiPriority w:val="30"/>
    <w:qFormat w:val="on"/>
    <w:pPr>
      <w:pBdr>
        <w:bottom w:val="single" w:color="4f81bd" w:themeColor="accent1" w:sz="4" w:space="4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link w:val="IntenseQuote"/>
    <w:uiPriority w:val="30"/>
    <w:rPr>
      <w:b/>
      <w:bCs/>
      <w:i/>
      <w:iCs/>
      <w:color w:val="4f81bd" w:themeColor="accent1"/>
    </w:rPr>
  </w:style>
  <w:style w:type="character" w:styleId="SubtleReference">
    <w:name w:val="Subtle Reference"/>
    <w:uiPriority w:val="31"/>
    <w:qFormat w:val="on"/>
    <w:rPr>
      <w:smallCaps/>
      <w:color w:val="c0504d" w:themeColor="accent2"/>
      <w:u w:val="single"/>
    </w:rPr>
  </w:style>
  <w:style w:type="character" w:styleId="IntenseReference">
    <w:name w:val="Intense Reference"/>
    <w:uiPriority w:val="32"/>
    <w:qFormat w:val="on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uiPriority w:val="33"/>
    <w:qFormat w:val="on"/>
    <w:rPr>
      <w:b/>
      <w:bCs/>
      <w:smallCaps/>
      <w:spacing w:val="5"/>
    </w:rPr>
  </w:style>
  <w:style w:type="paragraph" w:styleId="ListParagraph">
    <w:name w:val="List Paragraph"/>
    <w:uiPriority w:val="34"/>
    <w:qFormat w:val="on"/>
    <w:pPr>
      <w:ind w:left="720"/>
      <w:contextualSpacing w:val="on"/>
    </w:pPr>
  </w:style>
  <w:style w:type="paragraph" w:styleId="Footnotetext">
    <w:name w:val="Footnote text"/>
    <w:link w:val="FootnoteTextChar"/>
    <w:uiPriority w:val="99"/>
    <w:semiHidden w:val="on"/>
    <w:unhideWhenUsed w:val="on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link w:val="Footnotetext"/>
    <w:uiPriority w:val="99"/>
    <w:semiHidden w:val="on"/>
    <w:rPr>
      <w:sz w:val="20"/>
      <w:szCs w:val="20"/>
    </w:rPr>
  </w:style>
  <w:style w:type="character" w:styleId="Footnotereference">
    <w:name w:val="Footnote reference"/>
    <w:uiPriority w:val="99"/>
    <w:semiHidden w:val="on"/>
    <w:unhideWhenUsed w:val="on"/>
    <w:rPr>
      <w:vertAlign w:val="superscript"/>
    </w:rPr>
  </w:style>
  <w:style w:type="paragraph" w:styleId="Endnotetext">
    <w:name w:val="Endnote text"/>
    <w:link w:val="EndnoteTextChar"/>
    <w:uiPriority w:val="99"/>
    <w:semiHidden w:val="on"/>
    <w:unhideWhenUsed w:val="on"/>
    <w:pPr>
      <w:spacing w:after="0" w:line="240" w:lineRule="auto"/>
    </w:pPr>
    <w:rPr>
      <w:sz w:val="20"/>
      <w:szCs w:val="20"/>
    </w:rPr>
  </w:style>
  <w:style w:type="character" w:customStyle="1" w:styleId="EndnoteTextChar">
    <w:name w:val="Endnote Text Char"/>
    <w:link w:val="Endnotetext"/>
    <w:uiPriority w:val="99"/>
    <w:semiHidden w:val="on"/>
    <w:rPr>
      <w:sz w:val="20"/>
      <w:szCs w:val="20"/>
    </w:rPr>
  </w:style>
  <w:style w:type="character" w:styleId="Endnotereference">
    <w:name w:val="Endnote reference"/>
    <w:uiPriority w:val="99"/>
    <w:semiHidden w:val="on"/>
    <w:unhideWhenUsed w:val="on"/>
    <w:rPr>
      <w:vertAlign w:val="superscript"/>
    </w:rPr>
  </w:style>
  <w:style w:type="character" w:styleId="Hyperlink">
    <w:name w:val="Hyperlink"/>
    <w:uiPriority w:val="99"/>
    <w:unhideWhenUsed w:val="on"/>
    <w:rPr>
      <w:color w:val="0000ff" w:themeColor="hyperlink"/>
      <w:u w:val="single"/>
    </w:rPr>
  </w:style>
  <w:style w:type="paragraph" w:styleId="PlainText">
    <w:name w:val="Plain Text"/>
    <w:link w:val="PlainTextChar"/>
    <w:uiPriority w:val="99"/>
    <w:semiHidden w:val="on"/>
    <w:unhideWhenUsed w:val="on"/>
    <w:pPr>
      <w:spacing w:after="0" w:line="240" w:lineRule="auto"/>
    </w:pPr>
    <w:rPr>
      <w:rFonts w:ascii="Courier New" w:cs="Courier New" w:hAnsi="Courier New"/>
      <w:sz w:val="21"/>
      <w:szCs w:val="21"/>
    </w:rPr>
  </w:style>
  <w:style w:type="character" w:customStyle="1" w:styleId="PlainTextChar">
    <w:name w:val="Plain Text Char"/>
    <w:link w:val="PlainText"/>
    <w:uiPriority w:val="99"/>
    <w:rPr>
      <w:rFonts w:ascii="Courier New" w:cs="Courier New" w:hAnsi="Courier New"/>
      <w:sz w:val="21"/>
      <w:szCs w:val="21"/>
    </w:rPr>
  </w:style>
  <w:style w:type="paragraph" w:styleId="Header">
    <w:name w:val="Header"/>
    <w:link w:val="HeaderChar"/>
    <w:uiPriority w:val="99"/>
    <w:unhideWhenUsed w:val="on"/>
    <w:pPr>
      <w:spacing w:after="0" w:line="240" w:lineRule="auto"/>
    </w:pPr>
  </w:style>
  <w:style w:type="character" w:customStyle="1" w:styleId="HeaderChar">
    <w:name w:val="Header Char"/>
    <w:link w:val="Header"/>
    <w:uiPriority w:val="99"/>
  </w:style>
  <w:style w:type="paragraph" w:styleId="Footer">
    <w:name w:val="Footer"/>
    <w:link w:val="FooterChar"/>
    <w:uiPriority w:val="99"/>
    <w:unhideWhenUsed w:val="on"/>
    <w:pPr>
      <w:spacing w:after="0" w:line="240" w:lineRule="auto"/>
    </w:pPr>
  </w:style>
  <w:style w:type="character" w:customStyle="1" w:styleId="FooterChar">
    <w:name w:val="Footer Char"/>
    <w:link w:val="Footer"/>
    <w:uiPriority w:val="99"/>
  </w:style>
  <w:style w:type="paragraph" w:styleId="Caption">
    <w:name w:val="Caption"/>
    <w:uiPriority w:val="35"/>
    <w:unhideWhenUsed w:val="on"/>
    <w:qFormat w:val="on"/>
    <w:pPr>
      <w:spacing w:after="200" w:line="240" w:lineRule="auto"/>
    </w:pPr>
    <w:rPr>
      <w:i/>
      <w:iCs/>
      <w:color w:val="1f497d" w:themeColor="text2"/>
      <w:sz w:val="18"/>
      <w:szCs w:val="18"/>
    </w:rPr>
  </w:style>
  <w:style w:type="paragraph" w:default="1" w:styleId="Normal">
    <w:name w:val="Normal"/>
    <w:uiPriority w:val="99"/>
    <w:qFormat w:val="on"/>
    <w:pPr>
      <w:widowControl w:val="on"/>
    </w:pPr>
    <w:rPr>
      <w:rFonts w:ascii="Times New Roman" w:cs="Times New Roman" w:eastAsia="Times New Roman" w:hAnsi="Times New Roman"/>
      <w:lang w:bidi="ar-SA"/>
    </w:rPr>
  </w:style>
  <w:style w:type="character" w:default="1" w:styleId="DefaultParagraphFont">
    <w:name w:val="Default Paragraph Font"/>
    <w:uiPriority w:val="1"/>
    <w:semiHidden w:val="on"/>
    <w:unhideWhenUsed w:val="on"/>
  </w:style>
  <w:style w:type="table" w:default="1" w:styleId="NormalTable">
    <w:name w:val="Normal Table"/>
    <w:uiPriority w:val="99"/>
    <w:semiHidden w:val="on"/>
    <w:unhideWhenUsed w:val="on"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 w:val="on"/>
    <w:unhideWhenUsed w:val="on"/>
  </w:style>
  <w:style w:type="paragraph" w:customStyle="1" w:styleId="ConsPlusNormal">
    <w:name w:val="ConsPlusNormal"/>
    <w:uiPriority w:val="99"/>
    <w:pPr>
      <w:widowControl w:val="on"/>
    </w:pPr>
    <w:rPr>
      <w:rFonts w:ascii="Times New Roman" w:cs="Times New Roman" w:eastAsia="Calibri" w:hAnsi="Times New Roman"/>
      <w:sz w:val="28"/>
      <w:szCs w:val="28"/>
      <w:lang w:bidi="ar-SA" w:eastAsia="en-US"/>
    </w:rPr>
  </w:style>
  <w:style w:type="table" w:styleId="TableGrid">
    <w:name w:val="Table Grid"/>
    <w:basedOn w:val="NormalTable"/>
    <w:uiPriority w:val="5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308437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settings" Target="settings.xml"/><Relationship Id="rId4" Type="http://schemas.openxmlformats.org/officeDocument/2006/relationships/fontTable" Target="fontTable.xml"/><Relationship Id="rId5" Type="http://schemas.openxmlformats.org/officeDocument/2006/relationships/theme" Target="theme/theme1.xml"/><Relationship Id="rId3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Arab" typeface="Times New Roman"/>
        <a:font script="Beng" typeface="Vrinda"/>
        <a:font script="Cher" typeface="Plantagenet Cherokee"/>
        <a:font script="Deva" typeface="Mangal"/>
        <a:font script="Ethi" typeface="Nyala"/>
        <a:font script="Gujr" typeface="Shruti"/>
        <a:font script="Guru" typeface="Raavi"/>
        <a:font script="Hang" typeface="맑은 고딕"/>
        <a:font script="Hebr" typeface="Times New Roman"/>
        <a:font script="Knda" typeface="Tunga"/>
        <a:font script="Khmr" typeface="MoolBoran"/>
        <a:font script="Laoo" typeface="DokChampa"/>
        <a:font script="Mlym" typeface="Kartika"/>
        <a:font script="Mong" typeface="Mongolian Baiti"/>
        <a:font script="Orya" typeface="Kalinga"/>
        <a:font script="Sinh" typeface="Iskoola Pota"/>
        <a:font script="Syrc" typeface="Estrangelo Edessa"/>
        <a:font script="Taml" typeface="Latha"/>
        <a:font script="Telu" typeface="Gautami"/>
        <a:font script="Thaa" typeface="MV Boli"/>
        <a:font script="Thai" typeface="Angsana New"/>
        <a:font script="Tibt" typeface="Microsoft Himalaya"/>
        <a:font script="Cans" typeface="Euphemia"/>
        <a:font script="Yiii" typeface="Microsoft Yi Baiti"/>
        <a:font script="Hans" typeface="宋体"/>
        <a:font script="Hant" typeface="新細明體"/>
        <a:font script="Jpan" typeface="ＭＳ ゴシック"/>
      </a:majorFont>
      <a:minorFont>
        <a:latin typeface="Calibri"/>
        <a:ea typeface=""/>
        <a:cs typeface=""/>
        <a:font script="Arab" typeface="Arial"/>
        <a:font script="Beng" typeface="Vrinda"/>
        <a:font script="Cher" typeface="Plantagenet Cherokee"/>
        <a:font script="Deva" typeface="Mangal"/>
        <a:font script="Ethi" typeface="Nyala"/>
        <a:font script="Gujr" typeface="Shruti"/>
        <a:font script="Guru" typeface="Raavi"/>
        <a:font script="Hang" typeface="맑은 고딕"/>
        <a:font script="Hebr" typeface="Arial"/>
        <a:font script="Knda" typeface="Tunga"/>
        <a:font script="Khmr" typeface="DaunPenh"/>
        <a:font script="Laoo" typeface="DokChampa"/>
        <a:font script="Mlym" typeface="Kartika"/>
        <a:font script="Mong" typeface="Mongolian Baiti"/>
        <a:font script="Orya" typeface="Kalinga"/>
        <a:font script="Sinh" typeface="Iskoola Pota"/>
        <a:font script="Syrc" typeface="Estrangelo Edessa"/>
        <a:font script="Taml" typeface="Latha"/>
        <a:font script="Telu" typeface="Gautami"/>
        <a:font script="Thaa" typeface="MV Boli"/>
        <a:font script="Thai" typeface="Cordia New"/>
        <a:font script="Tibt" typeface="Microsoft Himalaya"/>
        <a:font script="Cans" typeface="Euphemia"/>
        <a:font script="Yiii" typeface="Microsoft Yi Baiti"/>
        <a:font script="Hans" typeface="宋体"/>
        <a:font script="Hant" typeface="新細明體"/>
        <a:font script="Jpan" typeface="ＭＳ 明朝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347</Words>
  <Characters>1982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2325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ПК</dc:creator>
  <cp:lastModifiedBy>Надежда</cp:lastModifiedBy>
</cp:coreProperties>
</file>