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850" w:left="0" w:right="0"/>
        <w:jc w:val="both"/>
        <w:rPr>
          <w:b w:val="1"/>
        </w:rPr>
      </w:pPr>
      <w:r>
        <w:rPr>
          <w:b w:val="1"/>
        </w:rPr>
        <w:t>О праве отказа от туристского продукта</w:t>
      </w:r>
    </w:p>
    <w:p w14:paraId="02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03000000">
      <w:pPr>
        <w:spacing w:after="0" w:before="0" w:line="240" w:lineRule="auto"/>
        <w:ind w:firstLine="850" w:left="0" w:right="0"/>
        <w:jc w:val="both"/>
        <w:rPr>
          <w:b w:val="0"/>
        </w:rPr>
      </w:pPr>
      <w:r>
        <w:rPr>
          <w:b w:val="0"/>
        </w:rPr>
        <w:t>В связи с сезоном повышенной туристической активности, сложностями  с авиаперевозками, имеющимися в настоящее время, возникла необходимость  разъяснения прав граждан ( потребителей туристического  продукта) на отказ от услуги.</w:t>
      </w:r>
    </w:p>
    <w:p w14:paraId="04000000">
      <w:pPr>
        <w:spacing w:after="0" w:before="0" w:line="240" w:lineRule="auto"/>
        <w:ind w:firstLine="850" w:left="0" w:right="0"/>
        <w:jc w:val="both"/>
        <w:rPr>
          <w:b w:val="0"/>
        </w:rPr>
      </w:pPr>
      <w:r>
        <w:rPr>
          <w:b w:val="0"/>
        </w:rPr>
        <w:t>Зачастую при предварительном бронировании услуг туристических агентств, гостиниц отелей, санаториеев, ораганизациями, оказывающими такие услуги, на сайтах сети Интернет, где размещена информация о бронировании, указано о правилах отказа от договора, из которых следует, что турист, отказывающийся от брони за определенное время до даты въезда в гостиницу, несет расходы в связи с расторжением договора, и чем дата отказа от туристского продукта ближе к дате, указанной в бронировании, тем сумма расходов, связанных с отказом от договора, больше.</w:t>
      </w:r>
    </w:p>
    <w:p w14:paraId="05000000">
      <w:pPr>
        <w:spacing w:after="0" w:before="0" w:line="240" w:lineRule="auto"/>
        <w:ind w:firstLine="850" w:left="0" w:right="0"/>
        <w:jc w:val="both"/>
        <w:rPr>
          <w:b w:val="0"/>
        </w:rPr>
      </w:pPr>
      <w:r>
        <w:rPr>
          <w:b w:val="0"/>
        </w:rPr>
        <w:t xml:space="preserve">Между тем,  </w:t>
      </w:r>
      <w:r>
        <w:rPr>
          <w:b w:val="0"/>
        </w:rPr>
        <w:t xml:space="preserve"> </w:t>
      </w:r>
      <w:r>
        <w:rPr>
          <w:b w:val="0"/>
          <w:strike w:val="0"/>
          <w:color w:val="0000FF"/>
          <w:u w:color="000000" w:val="single"/>
        </w:rPr>
        <w:t>пунктом 1 ст. 782</w:t>
      </w:r>
      <w:r>
        <w:rPr>
          <w:b w:val="0"/>
        </w:rPr>
        <w:t xml:space="preserve"> </w:t>
      </w:r>
      <w:r>
        <w:rPr>
          <w:b w:val="0"/>
        </w:rPr>
        <w:t>Гражданского кодекса РФ и</w:t>
      </w:r>
      <w:r>
        <w:rPr>
          <w:b w:val="0"/>
        </w:rPr>
        <w:t xml:space="preserve"> </w:t>
      </w:r>
      <w:r>
        <w:rPr>
          <w:b w:val="0"/>
          <w:strike w:val="0"/>
          <w:color w:val="0000FF"/>
          <w:u w:color="000000" w:val="single"/>
        </w:rPr>
        <w:t>ст. 32</w:t>
      </w:r>
      <w:r>
        <w:rPr>
          <w:b w:val="0"/>
        </w:rPr>
        <w:t xml:space="preserve"> </w:t>
      </w:r>
      <w:r>
        <w:rPr>
          <w:b w:val="0"/>
        </w:rPr>
        <w:t xml:space="preserve">Закона о защите прав потребителей предусмотрено, что заказчик вправе отказаться от исполнения договора возмездного оказания услуг при условии оплаты исполнителю фактически понесенных расходов. </w:t>
      </w:r>
      <w:r>
        <w:rPr>
          <w:b w:val="0"/>
        </w:rPr>
        <w:t xml:space="preserve">По общему правилу, при отказе потребителя от услуги обязанность доказать фактические расходы на ее исполнение и их размер лежит на исполнителе. </w:t>
      </w:r>
    </w:p>
    <w:p w14:paraId="06000000">
      <w:pPr>
        <w:spacing w:after="0" w:before="0" w:line="240" w:lineRule="auto"/>
        <w:ind w:firstLine="850" w:left="0" w:right="0"/>
        <w:jc w:val="both"/>
        <w:rPr>
          <w:b w:val="0"/>
        </w:rPr>
      </w:pPr>
      <w:r>
        <w:rPr>
          <w:b w:val="0"/>
        </w:rPr>
        <w:t>В такие расходы могут быть включены уже оплаченные  в интересах заказчика турагентом  экскурсии заказчика, приобретение авиа и иных билетов и иные расходы,  возврат денежных средств по которым третей стороно осуществлен частично, ил не осуществлен. Соответственно если турагент  от третьих лиц получил возрат денежных средств в связи с отказом потребителя от услуги, эти денежные средства подлежат возврату  потребителю, а если, например, турагентом по согласованию с потребителем приобретены невозвратные авиабилеты, то  их стоимость не потребителю не возвращается. По аналогии законодательство применяется и к иным ситуациям, возникающим ввиду оказания услуг.</w:t>
      </w:r>
    </w:p>
    <w:p w14:paraId="07000000">
      <w:pPr>
        <w:spacing w:after="0" w:before="0" w:line="240" w:lineRule="auto"/>
        <w:ind w:firstLine="850" w:left="0" w:right="0"/>
        <w:jc w:val="both"/>
        <w:rPr>
          <w:b w:val="0"/>
        </w:rPr>
      </w:pPr>
      <w:r>
        <w:br/>
      </w:r>
      <w:r>
        <w:rPr>
          <w:b w:val="0"/>
        </w:rPr>
        <w:t xml:space="preserve">      Таким образом, включение в договор о реализации туристского продукта положений об удержании с потребителя в пользу туроператора (турагенту и тд) при расторжении договора части денежной суммы, внесенной в счет договора в виде фиксированных сумм, в том числе в процентном отношении к цене услуги (турпродукта), не основано на нормах права.</w:t>
      </w:r>
    </w:p>
    <w:p w14:paraId="08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09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0A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0B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0C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0D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0E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0F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10000000">
      <w:pPr>
        <w:spacing w:after="0" w:before="0"/>
        <w:ind w:firstLine="0" w:left="0" w:right="0"/>
        <w:jc w:val="both"/>
        <w:rPr>
          <w:b w:val="0"/>
        </w:rPr>
      </w:pPr>
    </w:p>
    <w:p w14:paraId="11000000">
      <w:pPr>
        <w:spacing w:after="0" w:before="0" w:line="240" w:lineRule="exact"/>
        <w:ind w:firstLine="0" w:left="0" w:right="0"/>
        <w:jc w:val="both"/>
        <w:rPr>
          <w:b w:val="0"/>
        </w:rPr>
      </w:pPr>
      <w:r>
        <w:t>Помощник п</w:t>
      </w:r>
      <w:r>
        <w:rPr>
          <w:b w:val="0"/>
        </w:rPr>
        <w:t>рокурора Слюдянского района</w:t>
      </w:r>
    </w:p>
    <w:p w14:paraId="12000000">
      <w:pPr>
        <w:spacing w:after="0" w:before="0" w:line="240" w:lineRule="exact"/>
        <w:ind w:firstLine="0" w:left="0" w:right="0"/>
        <w:jc w:val="both"/>
        <w:rPr>
          <w:b w:val="0"/>
        </w:rPr>
      </w:pPr>
    </w:p>
    <w:p w14:paraId="13000000">
      <w:pPr>
        <w:spacing w:after="0" w:before="0" w:line="240" w:lineRule="exact"/>
        <w:ind w:firstLine="0" w:left="0" w:right="0"/>
        <w:jc w:val="both"/>
        <w:rPr>
          <w:b w:val="0"/>
        </w:rPr>
      </w:pPr>
      <w:r>
        <w:rPr>
          <w:b w:val="0"/>
        </w:rPr>
        <w:t>Жёлтышева М.И.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2025-07-21T04:40:18Z</dcterms:modified>
</cp:coreProperties>
</file>