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1">
      <w:pPr>
        <w:pStyle w:val="ConsPlusTitlePage"/>
        <w:rPr/>
      </w:pPr>
      <w:r>
        <w:rPr/>
        <w:br w:type="textWrapping"/>
      </w:r>
    </w:p>
    <w:p w14:paraId="00000002">
      <w:pPr>
        <w:ind w:right="-142"/>
        <w:jc w:val="center"/>
        <w:rPr>
          <w:rFonts w:ascii="Arial" w:cs="Arial" w:hAnsi="Arial"/>
          <w:b/>
          <w:color w:val="auto"/>
          <w:sz w:val="32"/>
          <w:szCs w:val="32"/>
        </w:rPr>
      </w:pPr>
      <w:r>
        <w:rPr>
          <w:rFonts w:ascii="Arial" w:cs="Arial" w:hAnsi="Arial"/>
          <w:b/>
          <w:color w:val="auto"/>
          <w:sz w:val="32"/>
          <w:szCs w:val="32"/>
        </w:rPr>
        <w:t>22.10.2024г. № 51</w:t>
      </w:r>
    </w:p>
    <w:p w14:paraId="00000003">
      <w:pPr>
        <w:ind w:right="-142"/>
        <w:jc w:val="center"/>
        <w:rPr>
          <w:rFonts w:ascii="Arial" w:cs="Arial" w:hAnsi="Arial"/>
          <w:b/>
          <w:sz w:val="32"/>
          <w:szCs w:val="32"/>
        </w:rPr>
      </w:pPr>
      <w:r>
        <w:rPr>
          <w:rFonts w:ascii="Arial" w:cs="Arial" w:hAnsi="Arial"/>
          <w:b/>
          <w:sz w:val="32"/>
          <w:szCs w:val="32"/>
        </w:rPr>
        <w:t>РОССИЙСКАЯ ФЕДЕРАЦИЯ</w:t>
      </w:r>
    </w:p>
    <w:p w14:paraId="00000004">
      <w:pPr>
        <w:ind w:right="-142"/>
        <w:jc w:val="center"/>
        <w:rPr>
          <w:rFonts w:ascii="Arial" w:cs="Arial" w:hAnsi="Arial"/>
          <w:b/>
          <w:sz w:val="32"/>
          <w:szCs w:val="32"/>
        </w:rPr>
      </w:pPr>
      <w:r>
        <w:rPr>
          <w:rFonts w:ascii="Arial" w:cs="Arial" w:hAnsi="Arial"/>
          <w:b/>
          <w:sz w:val="32"/>
          <w:szCs w:val="32"/>
        </w:rPr>
        <w:t>ИРКУТСКАЯ ОБЛАСТЬ</w:t>
      </w:r>
    </w:p>
    <w:p w14:paraId="00000005">
      <w:pPr>
        <w:ind w:left="426" w:right="-142"/>
        <w:jc w:val="center"/>
        <w:rPr>
          <w:rFonts w:ascii="Arial" w:cs="Arial" w:hAnsi="Arial"/>
          <w:b/>
          <w:sz w:val="32"/>
          <w:szCs w:val="32"/>
        </w:rPr>
      </w:pPr>
      <w:r>
        <w:rPr>
          <w:rFonts w:ascii="Arial" w:cs="Arial" w:hAnsi="Arial"/>
          <w:b/>
          <w:sz w:val="32"/>
          <w:szCs w:val="32"/>
        </w:rPr>
        <w:t>СЛЮДЯНСКИЙ МУНИЦИПАЛЬНЫЙ РАЙОН</w:t>
      </w:r>
    </w:p>
    <w:p w14:paraId="00000006">
      <w:pPr>
        <w:ind w:left="1134" w:right="-142"/>
        <w:jc w:val="center"/>
        <w:rPr>
          <w:rFonts w:ascii="Arial" w:cs="Arial" w:hAnsi="Arial"/>
          <w:b/>
          <w:sz w:val="32"/>
          <w:szCs w:val="32"/>
        </w:rPr>
      </w:pPr>
      <w:r>
        <w:rPr>
          <w:rFonts w:ascii="Arial" w:cs="Arial" w:hAnsi="Arial"/>
          <w:b/>
          <w:sz w:val="32"/>
          <w:szCs w:val="32"/>
        </w:rPr>
        <w:t>ПОРТБАЙКАЛЬСКОЕ</w:t>
      </w:r>
      <w:r>
        <w:rPr>
          <w:rFonts w:ascii="Arial" w:cs="Arial" w:hAnsi="Arial"/>
          <w:b/>
          <w:sz w:val="32"/>
          <w:szCs w:val="32"/>
        </w:rPr>
        <w:t xml:space="preserve"> </w:t>
      </w:r>
      <w:r>
        <w:rPr>
          <w:rFonts w:ascii="Arial" w:cs="Arial" w:hAnsi="Arial"/>
          <w:b/>
          <w:sz w:val="32"/>
          <w:szCs w:val="32"/>
        </w:rPr>
        <w:t>СЕЛЬСКОГО</w:t>
      </w:r>
      <w:r>
        <w:rPr>
          <w:rFonts w:ascii="Arial" w:cs="Arial" w:hAnsi="Arial"/>
          <w:b/>
          <w:sz w:val="32"/>
          <w:szCs w:val="32"/>
        </w:rPr>
        <w:t>Е ПОСЕЛЕНИЕ</w:t>
      </w:r>
    </w:p>
    <w:p w14:paraId="00000007">
      <w:pPr>
        <w:ind w:left="1134" w:right="-142"/>
        <w:jc w:val="center"/>
        <w:rPr>
          <w:rFonts w:ascii="Arial" w:cs="Arial" w:hAnsi="Arial"/>
          <w:b/>
          <w:sz w:val="32"/>
          <w:szCs w:val="32"/>
        </w:rPr>
      </w:pPr>
      <w:r>
        <w:rPr>
          <w:rFonts w:ascii="Arial" w:cs="Arial" w:hAnsi="Arial"/>
          <w:b/>
          <w:sz w:val="32"/>
          <w:szCs w:val="32"/>
        </w:rPr>
        <w:t>АДМИНИСТРАЦИЯ</w:t>
      </w:r>
    </w:p>
    <w:p w14:paraId="00000008">
      <w:pPr>
        <w:ind w:left="1134" w:right="-142"/>
        <w:jc w:val="center"/>
        <w:rPr>
          <w:rFonts w:ascii="Arial" w:cs="Arial" w:hAnsi="Arial"/>
          <w:b/>
          <w:sz w:val="32"/>
          <w:szCs w:val="32"/>
        </w:rPr>
      </w:pPr>
      <w:r>
        <w:rPr>
          <w:rFonts w:ascii="Arial" w:cs="Arial" w:hAnsi="Arial"/>
          <w:b/>
          <w:sz w:val="32"/>
          <w:szCs w:val="32"/>
        </w:rPr>
        <w:t>ПОСТАНОВЛЕНИЕ</w:t>
      </w:r>
    </w:p>
    <w:p w14:paraId="00000009">
      <w:pPr>
        <w:pStyle w:val="ConsPlusTitle"/>
        <w:jc w:val="center"/>
        <w:rPr/>
      </w:pPr>
    </w:p>
    <w:p w14:paraId="0000000A">
      <w:pPr>
        <w:pStyle w:val="ConsPlusTitle"/>
        <w:jc w:val="center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ОБ УТВЕРЖДЕНИИ </w:t>
      </w:r>
      <w:bookmarkStart w:id="0" w:name="_Hlk180568031"/>
      <w:r>
        <w:rPr>
          <w:rFonts w:ascii="Times New Roman" w:cs="Times New Roman" w:hAnsi="Times New Roman"/>
          <w:sz w:val="24"/>
          <w:szCs w:val="24"/>
        </w:rPr>
        <w:t xml:space="preserve">ПОРЯДКА </w:t>
      </w:r>
      <w:r>
        <w:rPr>
          <w:rFonts w:ascii="Times New Roman" w:cs="Times New Roman" w:hAnsi="Times New Roman"/>
          <w:sz w:val="24"/>
          <w:szCs w:val="24"/>
        </w:rPr>
        <w:t xml:space="preserve">РАЗРАБОТКИ (КОРРЕКТИРОВКИ) И УТВЕРЖДЕНИЯ МЕТОДИК </w:t>
      </w:r>
      <w:r>
        <w:rPr>
          <w:rFonts w:ascii="Times New Roman" w:cs="Times New Roman" w:hAnsi="Times New Roman"/>
          <w:sz w:val="24"/>
          <w:szCs w:val="24"/>
        </w:rPr>
        <w:t xml:space="preserve">РАСЧЕТА ПОКАЗАТЕЛЕЙ ПРОЕКТОВ (ПРОГРАММ), </w:t>
      </w:r>
      <w:r>
        <w:rPr>
          <w:rFonts w:ascii="Times New Roman" w:cs="Times New Roman" w:hAnsi="Times New Roman"/>
          <w:sz w:val="24"/>
          <w:szCs w:val="24"/>
        </w:rPr>
        <w:t>МУНИЦИПАЛЬНЫХ</w:t>
      </w:r>
      <w:r>
        <w:rPr>
          <w:rFonts w:ascii="Times New Roman" w:cs="Times New Roman" w:hAnsi="Times New Roman"/>
          <w:sz w:val="24"/>
          <w:szCs w:val="24"/>
        </w:rPr>
        <w:t xml:space="preserve"> ПРОГРАММ </w:t>
      </w:r>
      <w:r>
        <w:rPr>
          <w:rFonts w:ascii="Times New Roman" w:cs="Times New Roman" w:hAnsi="Times New Roman"/>
          <w:sz w:val="24"/>
          <w:szCs w:val="24"/>
        </w:rPr>
        <w:t xml:space="preserve">ПОРТБАЙКАЛЬСКОГО МУНИЦИПАЛЬНОГО ОБРАЗОВАНИЯ </w:t>
      </w:r>
      <w:r>
        <w:rPr>
          <w:rFonts w:ascii="Times New Roman" w:cs="Times New Roman" w:hAnsi="Times New Roman"/>
          <w:sz w:val="24"/>
          <w:szCs w:val="24"/>
        </w:rPr>
        <w:t>И ИХ СТРУКТУРНЫХ ЭЛЕМЕНТОВ</w:t>
      </w:r>
      <w:bookmarkEnd w:id="0"/>
    </w:p>
    <w:p w14:paraId="0000000B">
      <w:pPr>
        <w:pStyle w:val="ConsPlusNormal"/>
        <w:jc w:val="both"/>
        <w:rPr>
          <w:rFonts w:ascii="Times New Roman" w:cs="Times New Roman" w:hAnsi="Times New Roman"/>
          <w:sz w:val="24"/>
          <w:szCs w:val="24"/>
        </w:rPr>
      </w:pPr>
    </w:p>
    <w:p w14:paraId="0000000C">
      <w:pPr>
        <w:ind w:firstLine="567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В соответствии с 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Положения об организации проектной деятельности администрации </w:t>
      </w:r>
      <w:r>
        <w:rPr>
          <w:rFonts w:ascii="Times New Roman" w:cs="Times New Roman" w:hAnsi="Times New Roman"/>
          <w:color w:val="000000"/>
          <w:sz w:val="24"/>
          <w:szCs w:val="24"/>
        </w:rPr>
        <w:t>Портбайкальского</w:t>
      </w:r>
      <w:r>
        <w:rPr>
          <w:rFonts w:ascii="Times New Roman" w:cs="Times New Roman" w:hAnsi="Times New Roman"/>
          <w:color w:val="000000"/>
          <w:sz w:val="24"/>
          <w:szCs w:val="24"/>
        </w:rPr>
        <w:t xml:space="preserve"> сельского поселения и подведомственных учреждениях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bookmarkStart w:id="1" w:name="_Hlk180568441"/>
      <w:r>
        <w:rPr>
          <w:rFonts w:ascii="Times New Roman" w:cs="Times New Roman" w:hAnsi="Times New Roman"/>
          <w:color w:val="auto"/>
          <w:sz w:val="24"/>
          <w:szCs w:val="24"/>
        </w:rPr>
        <w:t xml:space="preserve">утвержденного постановлением </w:t>
      </w:r>
      <w:r>
        <w:rPr>
          <w:rFonts w:ascii="Times New Roman" w:cs="Times New Roman" w:hAnsi="Times New Roman"/>
          <w:color w:val="auto"/>
          <w:sz w:val="24"/>
          <w:szCs w:val="24"/>
        </w:rPr>
        <w:t>П</w:t>
      </w:r>
      <w:r>
        <w:rPr>
          <w:rFonts w:ascii="Times New Roman" w:cs="Times New Roman" w:hAnsi="Times New Roman"/>
          <w:color w:val="auto"/>
          <w:sz w:val="24"/>
          <w:szCs w:val="24"/>
        </w:rPr>
        <w:t>о</w:t>
      </w:r>
      <w:r>
        <w:rPr>
          <w:rFonts w:ascii="Times New Roman" w:cs="Times New Roman" w:hAnsi="Times New Roman"/>
          <w:color w:val="auto"/>
          <w:sz w:val="24"/>
          <w:szCs w:val="24"/>
        </w:rPr>
        <w:t>ртбайкальского</w:t>
      </w:r>
      <w:r>
        <w:rPr>
          <w:rFonts w:ascii="Times New Roman" w:cs="Times New Roman" w:hAnsi="Times New Roman"/>
          <w:color w:val="auto"/>
          <w:sz w:val="24"/>
          <w:szCs w:val="24"/>
        </w:rPr>
        <w:t xml:space="preserve"> сельского поселения</w:t>
      </w:r>
      <w:r>
        <w:rPr>
          <w:rFonts w:ascii="Times New Roman" w:cs="Times New Roman" w:hAnsi="Times New Roman"/>
          <w:color w:val="auto"/>
          <w:sz w:val="24"/>
          <w:szCs w:val="24"/>
        </w:rPr>
        <w:t xml:space="preserve"> от 18 октября 2024 г. N </w:t>
      </w:r>
      <w:bookmarkEnd w:id="1"/>
      <w:r>
        <w:rPr>
          <w:rFonts w:ascii="Times New Roman" w:cs="Times New Roman" w:hAnsi="Times New Roman"/>
          <w:color w:val="auto"/>
          <w:sz w:val="24"/>
          <w:szCs w:val="24"/>
        </w:rPr>
        <w:t>45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 xml:space="preserve">Порядок принятия решений о разработке муниципальных программ </w:t>
      </w:r>
      <w:r>
        <w:rPr>
          <w:rFonts w:ascii="Times New Roman" w:cs="Times New Roman" w:hAnsi="Times New Roman"/>
          <w:sz w:val="24"/>
          <w:szCs w:val="24"/>
        </w:rPr>
        <w:t>Портбайкальского</w:t>
      </w:r>
      <w:r>
        <w:rPr>
          <w:rFonts w:ascii="Times New Roman" w:cs="Times New Roman" w:hAnsi="Times New Roman"/>
          <w:sz w:val="24"/>
          <w:szCs w:val="24"/>
        </w:rPr>
        <w:t xml:space="preserve"> муниципального образования, их формирования и реализации</w:t>
      </w:r>
      <w:r>
        <w:rPr>
          <w:rFonts w:ascii="Times New Roman" w:cs="Times New Roman" w:hAnsi="Times New Roman"/>
          <w:color w:val="ff0000"/>
          <w:sz w:val="24"/>
          <w:szCs w:val="24"/>
        </w:rPr>
        <w:t xml:space="preserve">, </w:t>
      </w:r>
      <w:r>
        <w:rPr>
          <w:rFonts w:ascii="Times New Roman" w:cs="Times New Roman" w:hAnsi="Times New Roman"/>
          <w:color w:val="auto"/>
          <w:sz w:val="24"/>
          <w:szCs w:val="24"/>
        </w:rPr>
        <w:t xml:space="preserve">утвержденного постановлением </w:t>
      </w:r>
      <w:r>
        <w:rPr>
          <w:rFonts w:ascii="Times New Roman" w:cs="Times New Roman" w:hAnsi="Times New Roman"/>
          <w:color w:val="auto"/>
          <w:sz w:val="24"/>
          <w:szCs w:val="24"/>
        </w:rPr>
        <w:t>Портбайкальского</w:t>
      </w:r>
      <w:r>
        <w:rPr>
          <w:rFonts w:ascii="Times New Roman" w:cs="Times New Roman" w:hAnsi="Times New Roman"/>
          <w:color w:val="auto"/>
          <w:sz w:val="24"/>
          <w:szCs w:val="24"/>
        </w:rPr>
        <w:t xml:space="preserve"> сельского поселения </w:t>
      </w:r>
      <w:r>
        <w:rPr>
          <w:rFonts w:ascii="Times New Roman" w:cs="Times New Roman" w:hAnsi="Times New Roman"/>
          <w:color w:val="auto"/>
          <w:sz w:val="24"/>
          <w:szCs w:val="24"/>
        </w:rPr>
        <w:t xml:space="preserve"> от 03 октября 2024 г. N 41</w:t>
      </w:r>
      <w:r>
        <w:rPr>
          <w:rFonts w:ascii="Times New Roman" w:cs="Times New Roman" w:hAnsi="Times New Roman"/>
          <w:sz w:val="24"/>
          <w:szCs w:val="24"/>
        </w:rPr>
        <w:t xml:space="preserve">, </w:t>
      </w:r>
      <w:r>
        <w:rPr>
          <w:rFonts w:ascii="Times New Roman" w:cs="Times New Roman" w:hAnsi="Times New Roman"/>
          <w:sz w:val="24"/>
          <w:szCs w:val="24"/>
        </w:rPr>
        <w:t>постановляет</w:t>
      </w:r>
      <w:r>
        <w:rPr>
          <w:rFonts w:ascii="Times New Roman" w:cs="Times New Roman" w:hAnsi="Times New Roman"/>
          <w:sz w:val="24"/>
          <w:szCs w:val="24"/>
        </w:rPr>
        <w:t>:</w:t>
      </w:r>
    </w:p>
    <w:p w14:paraId="0000000D">
      <w:pPr>
        <w:pStyle w:val="ConsPlusNormal"/>
        <w:numPr>
          <w:ilvl w:val="0"/>
          <w:numId w:val="1"/>
        </w:numPr>
        <w:spacing w:before="22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У</w:t>
      </w:r>
      <w:r>
        <w:rPr>
          <w:rFonts w:ascii="Times New Roman" w:cs="Times New Roman" w:hAnsi="Times New Roman"/>
          <w:sz w:val="24"/>
          <w:szCs w:val="24"/>
        </w:rPr>
        <w:t xml:space="preserve">твердить </w:t>
      </w:r>
      <w:r>
        <w:fldChar w:fldCharType="begin"/>
      </w:r>
      <w:r>
        <w:instrText xml:space="preserve">HYPERLINK \l "P29" </w:instrText>
      </w:r>
      <w:r>
        <w:fldChar w:fldCharType="separate"/>
      </w:r>
      <w:r>
        <w:rPr>
          <w:rFonts w:ascii="Times New Roman" w:cs="Times New Roman" w:hAnsi="Times New Roman"/>
          <w:color w:val="0000ff"/>
          <w:sz w:val="24"/>
          <w:szCs w:val="24"/>
        </w:rPr>
        <w:t>Порядок</w:t>
      </w:r>
      <w:r>
        <w:fldChar w:fldCharType="end"/>
      </w:r>
      <w:r>
        <w:rPr>
          <w:rFonts w:ascii="Times New Roman" w:cs="Times New Roman" w:hAnsi="Times New Roman"/>
          <w:sz w:val="24"/>
          <w:szCs w:val="24"/>
        </w:rPr>
        <w:t xml:space="preserve"> разработки (корректировки) и утверждения методик расчета показателей проектов (программ), </w:t>
      </w:r>
      <w:r>
        <w:rPr>
          <w:rFonts w:ascii="Times New Roman" w:cs="Times New Roman" w:hAnsi="Times New Roman"/>
          <w:sz w:val="24"/>
          <w:szCs w:val="24"/>
        </w:rPr>
        <w:t>муниципальных</w:t>
      </w:r>
      <w:r>
        <w:rPr>
          <w:rFonts w:ascii="Times New Roman" w:cs="Times New Roman" w:hAnsi="Times New Roman"/>
          <w:sz w:val="24"/>
          <w:szCs w:val="24"/>
        </w:rPr>
        <w:t xml:space="preserve"> программ </w:t>
      </w:r>
      <w:r>
        <w:rPr>
          <w:rFonts w:ascii="Times New Roman" w:cs="Times New Roman" w:hAnsi="Times New Roman"/>
          <w:sz w:val="24"/>
          <w:szCs w:val="24"/>
        </w:rPr>
        <w:t>Портбайкальского</w:t>
      </w:r>
      <w:r>
        <w:rPr>
          <w:rFonts w:ascii="Times New Roman" w:cs="Times New Roman" w:hAnsi="Times New Roman"/>
          <w:sz w:val="24"/>
          <w:szCs w:val="24"/>
        </w:rPr>
        <w:t xml:space="preserve"> муниципального образования</w:t>
      </w:r>
      <w:r>
        <w:rPr>
          <w:rFonts w:ascii="Times New Roman" w:cs="Times New Roman" w:hAnsi="Times New Roman"/>
          <w:sz w:val="24"/>
          <w:szCs w:val="24"/>
        </w:rPr>
        <w:t xml:space="preserve"> и их структурных элементов согласно приложению к настоящему приказу.</w:t>
      </w:r>
    </w:p>
    <w:p w14:paraId="0000000E">
      <w:pPr>
        <w:pStyle w:val="ConsPlusNormal"/>
        <w:numPr>
          <w:ilvl w:val="0"/>
          <w:numId w:val="1"/>
        </w:numPr>
        <w:spacing w:before="22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Настоящее постановление распространяется на правоотношения, возникающие при составлении и исполнении бюджета </w:t>
      </w:r>
      <w:r>
        <w:rPr>
          <w:rFonts w:ascii="Times New Roman" w:cs="Times New Roman" w:hAnsi="Times New Roman"/>
          <w:sz w:val="24"/>
          <w:szCs w:val="24"/>
        </w:rPr>
        <w:t>Портбайкальского</w:t>
      </w:r>
      <w:r>
        <w:rPr>
          <w:rFonts w:ascii="Times New Roman" w:cs="Times New Roman" w:hAnsi="Times New Roman"/>
          <w:sz w:val="24"/>
          <w:szCs w:val="24"/>
        </w:rPr>
        <w:t xml:space="preserve"> муниципального образования, начиная с бюджета на 2025 год и плановый период 2026 и 2027 годов.        </w:t>
      </w:r>
    </w:p>
    <w:p w14:paraId="0000000F">
      <w:pPr>
        <w:pStyle w:val="ConsPlusNormal"/>
        <w:numPr>
          <w:ilvl w:val="0"/>
          <w:numId w:val="1"/>
        </w:numPr>
        <w:spacing w:before="22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Опубликовать настоящее распоряжение в печатном издании «</w:t>
      </w:r>
      <w:r>
        <w:rPr>
          <w:rFonts w:ascii="Times New Roman" w:cs="Times New Roman" w:hAnsi="Times New Roman"/>
          <w:sz w:val="24"/>
          <w:szCs w:val="24"/>
        </w:rPr>
        <w:t>Портбайкальские</w:t>
      </w:r>
      <w:r>
        <w:rPr>
          <w:rFonts w:ascii="Times New Roman" w:cs="Times New Roman" w:hAnsi="Times New Roman"/>
          <w:sz w:val="24"/>
          <w:szCs w:val="24"/>
        </w:rPr>
        <w:t xml:space="preserve"> вести», а также разместить на официальном сайте администрации муниципального образования Слюдянский район, а </w:t>
      </w:r>
      <w:r>
        <w:rPr>
          <w:rFonts w:ascii="Times New Roman" w:cs="Times New Roman" w:hAnsi="Times New Roman"/>
          <w:sz w:val="24"/>
          <w:szCs w:val="24"/>
        </w:rPr>
        <w:t>именно  http://www.sludyanka.ru</w:t>
      </w:r>
      <w:r>
        <w:rPr>
          <w:rFonts w:ascii="Times New Roman" w:cs="Times New Roman" w:hAnsi="Times New Roman"/>
          <w:sz w:val="24"/>
          <w:szCs w:val="24"/>
        </w:rPr>
        <w:t xml:space="preserve">, в разделе «Городские и сельские поселения МО Слюдянский район».      </w:t>
      </w:r>
    </w:p>
    <w:p w14:paraId="00000010">
      <w:pPr>
        <w:pStyle w:val="ConsPlusNormal"/>
        <w:numPr>
          <w:ilvl w:val="0"/>
          <w:numId w:val="1"/>
        </w:numPr>
        <w:spacing w:before="220"/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>Контроль за исполнением настоящего постановления оставляю за собой.</w:t>
      </w:r>
    </w:p>
    <w:p w14:paraId="00000011">
      <w:pPr>
        <w:pStyle w:val="ConsPlusNormal"/>
        <w:spacing w:before="220"/>
        <w:jc w:val="both"/>
        <w:rPr>
          <w:rFonts w:ascii="Times New Roman" w:cs="Times New Roman" w:hAnsi="Times New Roman"/>
          <w:sz w:val="24"/>
          <w:szCs w:val="24"/>
        </w:rPr>
      </w:pPr>
    </w:p>
    <w:p w14:paraId="00000012">
      <w:pPr>
        <w:pStyle w:val="ConsPlusNormal"/>
        <w:spacing w:before="220"/>
        <w:jc w:val="both"/>
        <w:rPr>
          <w:rFonts w:ascii="Times New Roman" w:cs="Times New Roman" w:hAnsi="Times New Roman"/>
          <w:sz w:val="24"/>
          <w:szCs w:val="24"/>
        </w:rPr>
      </w:pPr>
    </w:p>
    <w:p w14:paraId="00000013">
      <w:pPr>
        <w:pStyle w:val="ConsPlusNormal"/>
        <w:spacing w:before="220"/>
        <w:jc w:val="both"/>
        <w:rPr>
          <w:rFonts w:ascii="Times New Roman" w:cs="Times New Roman" w:hAnsi="Times New Roman"/>
          <w:sz w:val="24"/>
          <w:szCs w:val="24"/>
        </w:rPr>
      </w:pPr>
    </w:p>
    <w:p w14:paraId="00000014">
      <w:pPr>
        <w:jc w:val="both"/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Глава </w:t>
      </w:r>
      <w:r>
        <w:rPr>
          <w:rFonts w:ascii="Times New Roman" w:cs="Times New Roman" w:hAnsi="Times New Roman"/>
          <w:sz w:val="24"/>
          <w:szCs w:val="24"/>
        </w:rPr>
        <w:t>Портбайкальского</w:t>
      </w:r>
    </w:p>
    <w:p w14:paraId="00000015">
      <w:pPr>
        <w:rPr>
          <w:rFonts w:ascii="Times New Roman" w:cs="Times New Roman" w:hAnsi="Times New Roman"/>
          <w:sz w:val="24"/>
          <w:szCs w:val="24"/>
        </w:rPr>
      </w:pPr>
      <w:r>
        <w:rPr>
          <w:rFonts w:ascii="Times New Roman" w:cs="Times New Roman" w:hAnsi="Times New Roman"/>
          <w:sz w:val="24"/>
          <w:szCs w:val="24"/>
        </w:rPr>
        <w:t xml:space="preserve">муниципального </w:t>
      </w:r>
      <w:r>
        <w:rPr>
          <w:rFonts w:ascii="Times New Roman" w:cs="Times New Roman" w:hAnsi="Times New Roman"/>
          <w:sz w:val="24"/>
          <w:szCs w:val="24"/>
        </w:rPr>
        <w:t xml:space="preserve">образования:  </w:t>
      </w:r>
      <w:r>
        <w:rPr>
          <w:rFonts w:ascii="Times New Roman" w:cs="Times New Roman" w:hAnsi="Times New Roman"/>
          <w:sz w:val="24"/>
          <w:szCs w:val="24"/>
        </w:rPr>
        <w:t xml:space="preserve"> </w:t>
      </w:r>
      <w:r>
        <w:rPr>
          <w:rFonts w:ascii="Times New Roman" w:cs="Times New Roman" w:hAnsi="Times New Roman"/>
          <w:sz w:val="24"/>
          <w:szCs w:val="24"/>
        </w:rPr>
        <w:t xml:space="preserve">                         </w:t>
      </w:r>
      <w:r>
        <w:rPr>
          <w:rFonts w:ascii="Times New Roman" w:cs="Times New Roman" w:hAnsi="Times New Roman"/>
          <w:sz w:val="24"/>
          <w:szCs w:val="24"/>
        </w:rPr>
        <w:t xml:space="preserve">                         </w:t>
      </w:r>
      <w:r>
        <w:rPr>
          <w:rFonts w:ascii="Times New Roman" w:cs="Times New Roman" w:hAnsi="Times New Roman"/>
          <w:sz w:val="24"/>
          <w:szCs w:val="24"/>
        </w:rPr>
        <w:t xml:space="preserve">         Н.И. Симакова</w:t>
      </w:r>
    </w:p>
    <w:p w14:paraId="00000016">
      <w:pPr>
        <w:pStyle w:val="ConsPlusNormal"/>
        <w:spacing w:before="220"/>
        <w:jc w:val="both"/>
        <w:rPr>
          <w:rFonts w:asciiTheme="minorHAnsi" w:cstheme="minorHAnsi" w:hAnsiTheme="minorHAnsi"/>
        </w:rPr>
      </w:pPr>
    </w:p>
    <w:p w14:paraId="00000017">
      <w:pPr>
        <w:pStyle w:val="ConsPlusNormal"/>
        <w:spacing w:before="220"/>
        <w:jc w:val="both"/>
        <w:rPr/>
      </w:pPr>
    </w:p>
    <w:p w14:paraId="00000018">
      <w:pPr>
        <w:pStyle w:val="ConsPlusNormal"/>
        <w:spacing w:before="220"/>
        <w:jc w:val="both"/>
        <w:rPr/>
      </w:pPr>
    </w:p>
    <w:p w14:paraId="00000019">
      <w:pPr>
        <w:pStyle w:val="ConsPlusNormal"/>
        <w:jc w:val="both"/>
        <w:rPr/>
      </w:pPr>
    </w:p>
    <w:p w14:paraId="0000001A">
      <w:pPr>
        <w:pStyle w:val="ConsPlusNormal"/>
        <w:ind w:left="5103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Приложение 1</w:t>
      </w:r>
    </w:p>
    <w:p w14:paraId="0000001B">
      <w:pPr>
        <w:pStyle w:val="ConsPlusNormal"/>
        <w:ind w:left="5103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к постановлению администрации                                                                                                     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муниципального                                                                                                  образования </w:t>
      </w:r>
    </w:p>
    <w:p w14:paraId="0000001C">
      <w:pPr>
        <w:pStyle w:val="ConsPlusNormal"/>
        <w:ind w:left="5103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от 22.10.2024г №51</w:t>
      </w:r>
    </w:p>
    <w:p w14:paraId="0000001D">
      <w:pPr>
        <w:pStyle w:val="ConsPlusNormal"/>
        <w:ind w:left="5103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1E">
      <w:pPr>
        <w:pStyle w:val="ConsPlusNormal"/>
        <w:ind w:left="5103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1F">
      <w:pPr>
        <w:pStyle w:val="ConsPlusNormal"/>
        <w:ind w:left="5103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20">
      <w:pPr>
        <w:pStyle w:val="ConsPlusTitle"/>
        <w:jc w:val="center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bookmarkStart w:id="2" w:name="P29"/>
      <w:bookmarkEnd w:id="2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ОРЯДОК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МЕТОДИК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РАСЧЕТА ПОКАЗАТЕЛЕЙ ПРОЕКТОВ (ПРОГРАММ),</w:t>
      </w:r>
    </w:p>
    <w:p w14:paraId="00000021">
      <w:pPr>
        <w:pStyle w:val="ConsPlusNormal"/>
        <w:jc w:val="center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МУНИЦИПАЛЬНЫХ ПРОГРАММ ПОРТБАЙКАЛЬСКОГО МУНИЦИПАЛЬНОГО ОБРАЗОВАНИЯ</w:t>
      </w:r>
    </w:p>
    <w:p w14:paraId="00000022">
      <w:pPr>
        <w:pStyle w:val="ConsPlusNormal"/>
        <w:jc w:val="center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 ИХ СТРУКТУРНЫХ ЭЛЕМЕНТОВ</w:t>
      </w:r>
    </w:p>
    <w:p w14:paraId="00000023">
      <w:pPr>
        <w:pStyle w:val="ConsPlusNormal"/>
        <w:jc w:val="center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24">
      <w:pPr>
        <w:pStyle w:val="ConsPlusNormal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1. Разработка (корректировка) методик расчета показателей проектов (программ),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муниципальных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программ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муниципального образования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и их структурных элементов (далее соответственно - методика расчета показателя, показатель, проект,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муниципальная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программа) осуществляется в соответствии с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Положения об организации проектной деятельности администрации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сельского поселения и подведомственных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утвержденного постановлением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сельского поселения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от 18 октября 2024 г. N 45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(далее - Положение о проектной деятельности), и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Порядок принятия решений о разработке муниципальных программ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муниципального образования, их формирования и реализации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, утвержденного постановлением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Портбайкальского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сельского поселения  от 03 октября 2024 г. N 41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(далее - </w:t>
      </w:r>
      <w:bookmarkStart w:id="3" w:name="_Hlk180568592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Положение о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разработки муниципальных программ</w:t>
      </w:r>
      <w:bookmarkEnd w:id="3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).</w:t>
      </w:r>
    </w:p>
    <w:p w14:paraId="00000025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Разработка (корректировка) и утверждение методики расчета показателя, не содержащей сведения, составляющие государственную тайну, а также обмен документами в рамках разработки (корректировки), согласования и утверждения методики расчета показателя, не содержащей сведения, составляющие государственную тайну, осуществляется в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информационной системе "Цифровая аналитическая платформа предоставления статистических данных" (далее - система статистических данных) по мере ввода в эксплуатацию ее компонентов и модулей в форме электронных документов, подписанных усиленной квалифицированной электронной подписью лиц, уполномоченных в установленном законодательством Российской Федерации порядке на их подписание от своего имени либо от имени федерального органа исполнительной власти, иного государственного органа и организации.</w:t>
      </w:r>
    </w:p>
    <w:p w14:paraId="00000026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2. Методика расчета показателя, содержащая сведения, составляющие государственную тайну, разрабатывается, корректируется и утверждается в соответствии с настоящим Порядком в форме документа на бумажном и (или) электронном носителе с соблюдением требований законодательства Российской Федерации о защите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тайны.</w:t>
      </w:r>
    </w:p>
    <w:p w14:paraId="00000027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3. Методика расчета показателя разрабатывается, корректируется и утверждается в соответствии с </w:t>
      </w:r>
      <w:r>
        <w:fldChar w:fldCharType="begin"/>
      </w:r>
      <w:r>
        <w:instrText xml:space="preserve">HYPERLINK "https://login.consultant.ru/link/?req=doc&amp;base=OTN&amp;n=41076&amp;dst=100044"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разделами 3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- </w:t>
      </w:r>
      <w:r>
        <w:fldChar w:fldCharType="begin"/>
      </w:r>
      <w:r>
        <w:instrText xml:space="preserve">HYPERLINK "https://login.consultant.ru/link/?req=doc&amp;base=OTN&amp;n=41076&amp;dst=100249"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5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национального стандарта Российской Федерации ГОСТ Р 71136-2023 "Национальные цели развития, национальные проекты (программы) и государственные программы Российской Федерации. Методики расчета показателей. Общие положения и требования к применяемым при расчетах данным", утвержденного и введенного в действие </w:t>
      </w:r>
      <w:r>
        <w:fldChar w:fldCharType="begin"/>
      </w:r>
      <w:r>
        <w:instrText xml:space="preserve">HYPERLINK "https://login.consultant.ru/link/?req=doc&amp;base=LAW&amp;n=469432"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приказом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Федерального агентства по техническому регулированию и метрологии от 6 декабря 2023 г. N 1521-ст (далее - ГОСТ) &lt;2&gt;.</w:t>
      </w:r>
    </w:p>
    <w:p w14:paraId="00000028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--------------------------------</w:t>
      </w:r>
    </w:p>
    <w:p w14:paraId="00000029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&lt;2&gt; М.: Российский институт стандартизации, 2023.</w:t>
      </w:r>
    </w:p>
    <w:p w14:paraId="0000002A">
      <w:pPr>
        <w:pStyle w:val="ConsPlusNormal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2B">
      <w:pPr>
        <w:pStyle w:val="ConsPlusNormal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4. Разработка (корректировка) методики расчета показателя, не содержащей сведения, составляющие государственную тайну, осуществляется на основании информации, включенной в справочник показателей проектов,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муниципальных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 и их структурных элементов, формирование и ведение которого осуществляется в системе статистических данных в соответствии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с </w:t>
      </w:r>
      <w:r>
        <w:fldChar w:fldCharType="begin"/>
      </w:r>
      <w:r>
        <w:instrText xml:space="preserve">HYPERLINK "https://login.consultant.ru/link/?req=doc&amp;base=LAW&amp;n=463712&amp;dst=100455"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Положением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о проектной деятельности и </w:t>
      </w:r>
      <w:r>
        <w:fldChar w:fldCharType="begin"/>
      </w:r>
      <w:r>
        <w:instrText xml:space="preserve">HYPERLINK "https://login.consultant.ru/link/?req=doc&amp;base=LAW&amp;n=477891&amp;dst=100024"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Положением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bookmarkStart w:id="4" w:name="_Hlk180569187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 разработки муниципальных программ</w:t>
      </w:r>
      <w:bookmarkEnd w:id="4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.</w:t>
      </w:r>
    </w:p>
    <w:p w14:paraId="0000002C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5. Методика расчета показателя утверждается отдельно для каждого показателя. Не допускается использование одной методики расчета показателя к нескольким показателям.</w:t>
      </w:r>
    </w:p>
    <w:p w14:paraId="0000002D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6. Корректировка методики расчета показателя осуществляется путем разработки и утверждения новой методики расчета данного показателя в соответствии с настоящим Порядком.</w:t>
      </w:r>
    </w:p>
    <w:p w14:paraId="0000002E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7. Методика расчета показателя содержит:</w:t>
      </w:r>
    </w:p>
    <w:p w14:paraId="0000002F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а) сведения о наименовании показателя;</w:t>
      </w:r>
    </w:p>
    <w:p w14:paraId="00000030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б) наименование проекта,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муниципальной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программы и (или) ее структурного элемента, в составе которых предусмотрен показатель;</w:t>
      </w:r>
    </w:p>
    <w:p w14:paraId="00000031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в) единицу измерения показателя (по Общероссийскому </w:t>
      </w:r>
      <w:r>
        <w:fldChar w:fldCharType="begin"/>
      </w:r>
      <w:r>
        <w:instrText xml:space="preserve">HYPERLINK "https://login.consultant.ru/link/?req=doc&amp;base=LAW&amp;n=482062"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классификатору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единиц измерения);</w:t>
      </w:r>
    </w:p>
    <w:p w14:paraId="00000032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г) описание показателя и его характеристики, включая сведения об уровне агрегирования показателя, периодичности расчета значений показателя, типе показателя, признаке декомпозиции показателя по субъектам Российской Федерации;</w:t>
      </w:r>
    </w:p>
    <w:p w14:paraId="00000033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д) наименование субъекта официального статистического учета или федерального органа исполнительной власти, иного государственного органа, организации, ответственного за расчет показателя;</w:t>
      </w:r>
    </w:p>
    <w:p w14:paraId="00000034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е) наименование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муниципальной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информационной системы, в которой обеспечивается расчет показателя;</w:t>
      </w:r>
    </w:p>
    <w:p w14:paraId="00000035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ж) периодичность расчета показателя и сроки предоставления (распространения) информации по показателю;</w:t>
      </w:r>
    </w:p>
    <w:p w14:paraId="00000036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з) порядок расчета показателя (алгоритм и формулы расчета показателя);</w:t>
      </w:r>
    </w:p>
    <w:p w14:paraId="00000037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и) описание используемых для расчета показателя наборов данных с указанием источников информации;</w:t>
      </w:r>
    </w:p>
    <w:p w14:paraId="00000038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к) сроки и способы предоставления наборов данных, используемых для расчета показателя, а также органы (организации), ответственные за их предоставление;</w:t>
      </w:r>
    </w:p>
    <w:p w14:paraId="00000039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л) нормативные правовые (правовые) акты, регламентирующие сбор (формирование) наборов данных, используемых для расчета показателя;</w:t>
      </w:r>
    </w:p>
    <w:p w14:paraId="0000003A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м) иные сведения о показателе, предусмотренные </w:t>
      </w:r>
      <w:r>
        <w:fldChar w:fldCharType="begin"/>
      </w:r>
      <w:r>
        <w:instrText xml:space="preserve">HYPERLINK "https://login.consultant.ru/link/?req=doc&amp;base=OTN&amp;n=41076"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ГОСТ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.</w:t>
      </w:r>
    </w:p>
    <w:p w14:paraId="0000003B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8. Методика расчета показателя разрабатывается (корректируется) и утверждается участниками проектной деятельности и органами исполнительной власти, иными государственными органами и организациями, ответственными за достижение показателя, в том числе руководителями проектов, руководителями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областных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проектов, руководителями ведомственных проектов, ответственными исполнителями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муниципальных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программ, ответственными за разработку комплекса процессных мероприятий (далее - ответственный за достижение показателя).</w:t>
      </w:r>
    </w:p>
    <w:p w14:paraId="0000003C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bookmarkStart w:id="5" w:name="P63"/>
      <w:bookmarkEnd w:id="5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9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. Разработанный проект методики расчета показателя одновременно направляется ответственным за достижение показателя на согласование следующим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областным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органам исполнительной власти, иным государственным органам, участникам проектной деятельности или организациям (далее при совместном упоминании - заинтересованные органы):</w:t>
      </w:r>
    </w:p>
    <w:p w14:paraId="0000003D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а)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областным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органам исполнительной власти, иным государственным органам и организациям, информация и (или) данные которых используются для расчета значений соответствующего показателя в соответствии с методикой расчета показателя;</w:t>
      </w:r>
    </w:p>
    <w:p w14:paraId="0000003E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б) руководителю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- в случае если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показатель 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не декомпозирован в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областной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проект, входящий в состав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(в случае если руководитель национального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не является ответственным за достижение данного показателя);</w:t>
      </w:r>
    </w:p>
    <w:p w14:paraId="0000003F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в) руководителю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областного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- для показателя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областного 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(в случае если руководитель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областного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не является ответственным за достижение данного показателя);</w:t>
      </w:r>
    </w:p>
    <w:p w14:paraId="00000040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г) руководителю ведомственного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- для показателя ведомственного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(в случае если руководитель ведомственного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национального проекта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не является ответственным за достижение данного показателя);</w:t>
      </w:r>
    </w:p>
    <w:p w14:paraId="00000041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д) ответственному за разработку комплекса процессных мероприятий - для показателя комплекса процессных мероприятий (в случае если ответственный за разработку комплекса процессных мероприятий не является ответственным за достижение показателя);</w:t>
      </w:r>
    </w:p>
    <w:p w14:paraId="00000042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е) ответственному исполнителю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программы - в случае если показатель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программы не декомпозирован во входящий в ее состав структурный элемент (в случае если ответственный исполнитель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программы не является ответственным за достижение данного показателя).</w:t>
      </w:r>
    </w:p>
    <w:p w14:paraId="00000043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Проект методики расчета показателя рассматривается заинтересованными органами в течение 3 рабочих дней со дня его поступления в системе статистических данных на согласование. В случае отсутствия по истечении указанного срока решений заинтересованных органов проект методики расчета показателя считается согласованным.</w:t>
      </w:r>
    </w:p>
    <w:p w14:paraId="00000044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bookmarkStart w:id="6" w:name="P71"/>
      <w:bookmarkEnd w:id="6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1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0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. Сроки согласования, установленные </w:t>
      </w:r>
      <w:r>
        <w:fldChar w:fldCharType="begin"/>
      </w:r>
      <w:r>
        <w:instrText xml:space="preserve">HYPERLINK \l "P63"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пунктами 9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настоящего Порядка, для методики расчета показателя, содержащей сведения, составляющие государственную тайну, могут быть увеличены, но не более чем на 5 рабочих дней.</w:t>
      </w:r>
    </w:p>
    <w:p w14:paraId="00000045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bookmarkStart w:id="7" w:name="P87"/>
      <w:bookmarkEnd w:id="7"/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1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1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. Методика расчета показателя утверждается (подписывается) ответственным за достижение показателя в течение 3 рабочих дней:</w:t>
      </w:r>
    </w:p>
    <w:p w14:paraId="00000046">
      <w:pPr>
        <w:pStyle w:val="ConsPlusNormal"/>
        <w:spacing w:before="220"/>
        <w:ind w:firstLine="54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а) со дня утверждения в соответствии с </w:t>
      </w:r>
      <w:r>
        <w:fldChar w:fldCharType="begin"/>
      </w:r>
      <w:r>
        <w:instrText xml:space="preserve">HYPERLINK "https://login.consultant.ru/link/?req=doc&amp;base=LAW&amp;n=463712&amp;dst=100455"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Положением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о проектной деятельности и (или) </w:t>
      </w:r>
      <w:r>
        <w:fldChar w:fldCharType="begin"/>
      </w:r>
      <w:r>
        <w:instrText xml:space="preserve">HYPERLINK "https://login.consultant.ru/link/?req=doc&amp;base=LAW&amp;n=477891&amp;dst=100024" </w:instrText>
      </w:r>
      <w:r>
        <w:fldChar w:fldCharType="separate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Положением</w:t>
      </w:r>
      <w:r>
        <w:fldChar w:fldCharType="end"/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о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разработки муниципальных программ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паспорта национального проекта, паспорта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программы, паспорта структурного элемента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программы, а также единого запроса на изменение национального проекта, единого запроса на изменение 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муниц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>пальной</w:t>
      </w:r>
      <w:r>
        <w:rPr>
          <w:rFonts w:ascii="Times New Roman" w:cs="Times New Roman" w:eastAsiaTheme="minorEastAsia" w:hAnsi="Times New Roman"/>
          <w:sz w:val="24"/>
          <w:szCs w:val="24"/>
          <w:lang w:eastAsia="ru-RU"/>
        </w:rPr>
        <w:t xml:space="preserve"> программы (запроса на изменение);</w:t>
      </w:r>
    </w:p>
    <w:p w14:paraId="00000047">
      <w:pPr>
        <w:pStyle w:val="ConsPlusNormal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48">
      <w:pPr>
        <w:pStyle w:val="ConsPlusNormal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49">
      <w:pPr>
        <w:pStyle w:val="ConsPlusNormal"/>
        <w:pBdr>
          <w:bottom w:val="single" w:color="auto" w:sz="6" w:space="0"/>
        </w:pBdr>
        <w:spacing w:before="100" w:after="100"/>
        <w:jc w:val="both"/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p w14:paraId="0000004A">
      <w:pPr>
        <w:rPr>
          <w:rFonts w:ascii="Times New Roman" w:cs="Times New Roman" w:eastAsiaTheme="minorEastAsia" w:hAnsi="Times New Roman"/>
          <w:sz w:val="24"/>
          <w:szCs w:val="24"/>
          <w:lang w:eastAsia="ru-RU"/>
        </w:rPr>
      </w:pPr>
    </w:p>
    <w:sectPr>
      <w:type w:val="continuous"/>
      <w:pgSz w:w="11900" w:h="16840"/>
      <w:pgMar w:top="1134" w:right="850" w:bottom="1134" w:left="1701" w:header="0" w:footer="6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20" w:hanging="360"/>
      </w:pPr>
    </w:lvl>
    <w:lvl w:ilvl="2" w:tentative="1">
      <w:start w:val="1"/>
      <w:numFmt w:val="lowerRoman"/>
      <w:lvlText w:val="%3."/>
      <w:lvlJc w:val="right"/>
      <w:pPr>
        <w:ind w:left="2340" w:hanging="180"/>
      </w:pPr>
    </w:lvl>
    <w:lvl w:ilvl="3" w:tentative="1">
      <w:start w:val="1"/>
      <w:numFmt w:val="decimal"/>
      <w:lvlText w:val="%4."/>
      <w:lvlJc w:val="left"/>
      <w:pPr>
        <w:ind w:left="3060" w:hanging="360"/>
      </w:pPr>
    </w:lvl>
    <w:lvl w:ilvl="4" w:tentative="1">
      <w:start w:val="1"/>
      <w:numFmt w:val="lowerLetter"/>
      <w:lvlText w:val="%5."/>
      <w:lvlJc w:val="left"/>
      <w:pPr>
        <w:ind w:left="3780" w:hanging="360"/>
      </w:pPr>
    </w:lvl>
    <w:lvl w:ilvl="5" w:tentative="1">
      <w:start w:val="1"/>
      <w:numFmt w:val="lowerRoman"/>
      <w:lvlText w:val="%6."/>
      <w:lvlJc w:val="right"/>
      <w:pPr>
        <w:ind w:left="4500" w:hanging="180"/>
      </w:pPr>
    </w:lvl>
    <w:lvl w:ilvl="6" w:tentative="1">
      <w:start w:val="1"/>
      <w:numFmt w:val="decimal"/>
      <w:lvlText w:val="%7."/>
      <w:lvlJc w:val="left"/>
      <w:pPr>
        <w:ind w:left="5220" w:hanging="360"/>
      </w:pPr>
    </w:lvl>
    <w:lvl w:ilvl="7" w:tentative="1">
      <w:start w:val="1"/>
      <w:numFmt w:val="lowerLetter"/>
      <w:lvlText w:val="%8."/>
      <w:lvlJc w:val="left"/>
      <w:pPr>
        <w:ind w:left="5940" w:hanging="360"/>
      </w:pPr>
    </w:lvl>
    <w:lvl w:ilvl="8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474"/>
    <w:rsid w:val="00410474"/>
    <w:rsid w:val="00604429"/>
    <w:rsid w:val="0071042E"/>
    <w:rsid w:val="007E31CF"/>
    <w:rsid w:val="00A9169E"/>
    <w:rsid w:val="00BA5A25"/>
    <w:rsid w:val="00D7106A"/>
    <w:rsid w:val="00F23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87C6D"/>
  <w15:chartTrackingRefBased/>
  <w15:docId w15:val="{7648C6CA-44ED-4364-9F04-AD1728252799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472c4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3763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f5395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472c4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472c4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472c4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3763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3763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472c4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472c4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472c4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472c4" w:themeColor="accent1" w:sz="4" w:space="4"/>
      </w:pBdr>
      <w:spacing w:before="200" w:after="280"/>
      <w:ind w:left="936" w:right="936"/>
    </w:pPr>
    <w:rPr>
      <w:b/>
      <w:bCs/>
      <w:i/>
      <w:iCs/>
      <w:color w:val="4472c4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472c4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  <w:pPr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ConsPlusNormal">
    <w:name w:val="ConsPlusNormal"/>
    <w:uiPriority w:val="99"/>
    <w:pPr>
      <w:widowControl w:val="off"/>
      <w:spacing w:after="0" w:line="240" w:lineRule="auto"/>
    </w:pPr>
    <w:rPr>
      <w:rFonts w:ascii="Calibri" w:cs="Calibri" w:eastAsiaTheme="minorEastAsia" w:hAnsi="Calibri"/>
      <w:lang w:eastAsia="ru-RU"/>
    </w:rPr>
  </w:style>
  <w:style w:type="paragraph" w:customStyle="1" w:styleId="ConsPlusTitle">
    <w:name w:val="ConsPlusTitle"/>
    <w:uiPriority w:val="99"/>
    <w:pPr>
      <w:widowControl w:val="off"/>
      <w:spacing w:after="0" w:line="240" w:lineRule="auto"/>
    </w:pPr>
    <w:rPr>
      <w:rFonts w:ascii="Calibri" w:cs="Calibri" w:eastAsiaTheme="minorEastAsia" w:hAnsi="Calibri"/>
      <w:b/>
      <w:lang w:eastAsia="ru-RU"/>
    </w:rPr>
  </w:style>
  <w:style w:type="paragraph" w:customStyle="1" w:styleId="ConsPlusTitlePage">
    <w:name w:val="ConsPlusTitlePage"/>
    <w:uiPriority w:val="99"/>
    <w:pPr>
      <w:widowControl w:val="off"/>
      <w:spacing w:after="0" w:line="240" w:lineRule="auto"/>
    </w:pPr>
    <w:rPr>
      <w:rFonts w:ascii="Tahoma" w:cs="Tahoma" w:eastAsiaTheme="minorEastAsia" w:hAnsi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1" Type="http://schemas.openxmlformats.org/officeDocument/2006/relationships/customXml" Target="../customXml/item1.xml"/><Relationship Id="rId5" Type="http://schemas.openxmlformats.org/officeDocument/2006/relationships/webSettings" Target="webSettings.xml"/><Relationship Id="rId6" Type="http://schemas.openxmlformats.org/officeDocument/2006/relationships/hyperlink" Target="https://login.consultant.ru/link/?req=doc&amp;base=OTN&amp;n=41076&amp;dst=100044" TargetMode="External"/><Relationship Id="rId7" Type="http://schemas.openxmlformats.org/officeDocument/2006/relationships/hyperlink" Target="https://login.consultant.ru/link/?req=doc&amp;base=OTN&amp;n=41076&amp;dst=100249" TargetMode="External"/><Relationship Id="rId8" Type="http://schemas.openxmlformats.org/officeDocument/2006/relationships/hyperlink" Target="https://login.consultant.ru/link/?req=doc&amp;base=LAW&amp;n=469432" TargetMode="External"/><Relationship Id="rId9" Type="http://schemas.openxmlformats.org/officeDocument/2006/relationships/hyperlink" Target="https://login.consultant.ru/link/?req=doc&amp;base=LAW&amp;n=463712&amp;dst=100455" TargetMode="External"/><Relationship Id="rId10" Type="http://schemas.openxmlformats.org/officeDocument/2006/relationships/hyperlink" Target="https://login.consultant.ru/link/?req=doc&amp;base=LAW&amp;n=477891&amp;dst=100024" TargetMode="External"/><Relationship Id="rId11" Type="http://schemas.openxmlformats.org/officeDocument/2006/relationships/hyperlink" Target="https://login.consultant.ru/link/?req=doc&amp;base=LAW&amp;n=482062" TargetMode="External"/><Relationship Id="rId12" Type="http://schemas.openxmlformats.org/officeDocument/2006/relationships/hyperlink" Target="https://login.consultant.ru/link/?req=doc&amp;base=OTN&amp;n=41076" TargetMode="External"/><Relationship Id="rId13" Type="http://schemas.openxmlformats.org/officeDocument/2006/relationships/hyperlink" Target="https://login.consultant.ru/link/?req=doc&amp;base=LAW&amp;n=463712&amp;dst=100455" TargetMode="External"/><Relationship Id="rId14" Type="http://schemas.openxmlformats.org/officeDocument/2006/relationships/hyperlink" Target="https://login.consultant.ru/link/?req=doc&amp;base=LAW&amp;n=477891&amp;dst=100024" TargetMode="Externa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 Light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ゴシック Light"/>
        <a:font script="Olck" typeface="Nirmala UI"/>
        <a:font script="Lisu" typeface="Segoe UI"/>
        <a:font script="Sora" typeface="Nirmala UI"/>
      </a:majorFont>
      <a:minorFont>
        <a:latin typeface="Calibri" panose="020F0502020204030204"/>
        <a:ea typeface=""/>
        <a:cs typeface=""/>
        <a:font script="Arab" typeface="Arial"/>
        <a:font script="Armn" typeface="Arial"/>
        <a:font script="Beng" typeface="Vrinda"/>
        <a:font script="Bopo" typeface="Microsoft JhengHei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Mymr" typeface="Myanmar Text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Osma" typeface="Ebrima"/>
        <a:font script="Tale" typeface="Microsoft Tai Le"/>
        <a:font script="Bugi" typeface="Leelawadee UI"/>
        <a:font script="Talu" typeface="Microsoft New Tai Lue"/>
        <a:font script="Tfng" typeface="Ebrima"/>
        <a:font script="Hans" typeface="等线"/>
        <a:font script="Hant" typeface="新細明體"/>
        <a:font script="Java" typeface="Javanese Text"/>
        <a:font script="Nkoo" typeface="Ebrima"/>
        <a:font script="Phag" typeface="Phagspa"/>
        <a:font script="Syre" typeface="Estrangelo Edessa"/>
        <a:font script="Syrj" typeface="Estrangelo Edessa"/>
        <a:font script="Syrn" typeface="Estrangelo Edessa"/>
        <a:font script="Jpan" typeface="游明朝"/>
        <a:font script="Olck" typeface="Nirmala UI"/>
        <a:font script="Lisu" typeface="Segoe UI"/>
        <a:font script="Sora" typeface="Nirmala UI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954AD1-8F50-45E6-B679-8537A29B2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1694</Words>
  <Characters>9657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pos1</dc:creator>
  <cp:lastModifiedBy>Надежда</cp:lastModifiedBy>
</cp:coreProperties>
</file>