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 wp14:anchorId="664F16B3" wp14:editId="0326D19C">
            <wp:simplePos x="0" y="0"/>
            <wp:positionH relativeFrom="column">
              <wp:posOffset>-5080</wp:posOffset>
            </wp:positionH>
            <wp:positionV relativeFrom="paragraph">
              <wp:posOffset>78740</wp:posOffset>
            </wp:positionV>
            <wp:extent cx="2833370" cy="2752725"/>
            <wp:effectExtent l="0" t="0" r="24130" b="9525"/>
            <wp:wrapThrough wrapText="bothSides">
              <wp:wrapPolygon edited="0">
                <wp:start x="0" y="0"/>
                <wp:lineTo x="0" y="21525"/>
                <wp:lineTo x="21639" y="21525"/>
                <wp:lineTo x="21639" y="0"/>
                <wp:lineTo x="0" y="0"/>
              </wp:wrapPolygon>
            </wp:wrapThrough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сферы туризма за 2024 год и шестилетний период реализации первого этапа стратегии характеризуется следующими итогами.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2024 году на развитие туристической сферы оказали влияние санкции, наложенные в отношении России. По словам экспертов, ситуация, сложившаяся на российском туристском рынке, в 2024 году гораздо сложнее, чем была в период активной фазы роста пандемии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 Особенно явно это наблюдается в структуре организованного выездного и въездного туризма, затронутыми оказались абсолютно все сегменты и виды туризма.</w:t>
      </w:r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Действующие в отношении нашей страны санкции определяют нынешний вектор развития всего международного туризма, а также фокус развития внутреннего туризма.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Слюдянском муниципальном районе фактическое количество КСР в 2024 году по сравнению с  2018 годом снизилось на 1 единицу и составило 48 КСР, однако количество койко-мест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увеличилось на 308 единиц и единовременная загрузка КСР составила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3 118 человек. В 2024 году, как и в 2023 году осталось прежним, составило 48 КСР (из них подлежащих классификации 23 единицы и 17 классифицированных) с единовременной вместимостью 3 118 человек.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Несмотря на сложившуюся сложную ситуацию, количество туристских прибытий в Слюдянский район увеличилось в 2024 году по сравнению с 2023 годом на 1,45% и составило 335 332  человек  против 330 535 человека в 2023 году.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период реализации первого этапа Стратегии количество туристских прибытий увеличилось к 2024 году на 32 % и составило 335 332  человек против 254 093 человек в 2018 году, из них количество туристов, прибывших на территорию района на «дикий» отдых или экскурсантов с 1-дневным пребыванием, в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прибывших на событийные мероприятия, горнолыжный курорт и КБЖД составило 282 143 человека и увеличилось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77 020 человек.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53 189 человек и увеличилось за шестилетний период реализации первого этапа Стратегии на 20 218 человек. Таким образом, количество размещенных туристов увеличилось на 3% и составляет 16% от числа всех прибывших туристов на территорию.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03440C77" wp14:editId="649EECF3">
            <wp:simplePos x="0" y="0"/>
            <wp:positionH relativeFrom="column">
              <wp:posOffset>-196215</wp:posOffset>
            </wp:positionH>
            <wp:positionV relativeFrom="paragraph">
              <wp:posOffset>120015</wp:posOffset>
            </wp:positionV>
            <wp:extent cx="3890010" cy="2889250"/>
            <wp:effectExtent l="0" t="0" r="0" b="6350"/>
            <wp:wrapThrough wrapText="bothSides">
              <wp:wrapPolygon edited="0">
                <wp:start x="0" y="0"/>
                <wp:lineTo x="0" y="21505"/>
                <wp:lineTo x="21473" y="21505"/>
                <wp:lineTo x="21473" y="0"/>
                <wp:lineTo x="0" y="0"/>
              </wp:wrapPolygon>
            </wp:wrapThrough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 поток туристов ежегодно генерируется в зимний период  горнолыжным курортом Гора Соболиная, в летний период 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Кругобайкальской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железной дорогой, в меньшей степени объектами притяжения являются горные отроги Хамар-Дабана и событийные площадки. В разрезе сезонного анализа туристского потока, наибольшее количество прибытий было зафиксировано в марте (15,6%), январе (15,2%), июле (12,6%), феврале (12,4%), августе (10,3%). Мертвым сезоном стал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ноябрь (1,7%). Таким образом, туристские прибытия распределены наибольшим образом в летний и зимний периоды с наибольшим уклоном в первую половину года.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1312" behindDoc="1" locked="0" layoutInCell="1" allowOverlap="1" wp14:anchorId="3FF50E33" wp14:editId="372E8A40">
            <wp:simplePos x="0" y="0"/>
            <wp:positionH relativeFrom="column">
              <wp:posOffset>-76200</wp:posOffset>
            </wp:positionH>
            <wp:positionV relativeFrom="paragraph">
              <wp:posOffset>-297180</wp:posOffset>
            </wp:positionV>
            <wp:extent cx="2813050" cy="3084830"/>
            <wp:effectExtent l="0" t="0" r="25400" b="20320"/>
            <wp:wrapThrough wrapText="bothSides">
              <wp:wrapPolygon edited="0">
                <wp:start x="0" y="0"/>
                <wp:lineTo x="0" y="21609"/>
                <wp:lineTo x="21649" y="21609"/>
                <wp:lineTo x="21649" y="0"/>
                <wp:lineTo x="0" y="0"/>
              </wp:wrapPolygon>
            </wp:wrapThrough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Туристско-экскурсионный поток Южного Прибайкалья в 2024 году составляет в объеме туристско-экскурсионного  потока Иркутской области 18,6%, что больше на 3,3% показателя, зафиксированного на начало реализации первого этапа Стратегии.</w:t>
      </w:r>
    </w:p>
    <w:p w:rsidR="00470868" w:rsidRPr="00D70F0E" w:rsidRDefault="00470868" w:rsidP="0047086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Объем предоставленных платных услуг по оценочным данным в туристско-рекреационной сфере в Слюдянском районе  составил 504,5 млн.руб. (7,3% аналогичного объема Иркутской области) к 532,9 млн. руб. 2023 года, что свидетельствует о преимущественном росте экскурсантов с однодневным пребыванием на территорию Слюдянского района. Темп рост объема предоставленных платных услуг за шестилетний период реализации первого этапа стратегии составил 161% (к 311,9 млн. руб. 2018 года). </w:t>
      </w:r>
    </w:p>
    <w:p w:rsidR="00470868" w:rsidRPr="00D70F0E" w:rsidRDefault="00470868" w:rsidP="004708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Ежегодно Слюдянский район посещают не более 0,1% иностранных туристов от общего туристического потока в районе, в связи с чем, ограничения и санкции не оказали особого влияния на туристский поток в Слюдянский район в части прибытий международных туристов. Однако, ввиду закрытия многих западных курортов для российских граждан, вектор отдыха сменил направления на путешествия внутри страны, что и повлияло на увеличение туристического потока в Слюдянский район. </w:t>
      </w:r>
    </w:p>
    <w:p w:rsidR="00470868" w:rsidRPr="00D70F0E" w:rsidRDefault="00470868" w:rsidP="004708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оценочным данным Агентства по туризму Иркутской области количество туристских прибытий в регион за 2024 год увеличилось по сравнению с аналогичным периодом прошлого года на 5,9% и составило 1800,0 тыс. человек, из них 60 тыс. человек – это иностранные граждане. Объем платных услуг в туристско-рекреационной сфере вырос по сравнению с прошлым годом на 0,9% и составил 6 900 млн. рублей, в том числе: отмечено увеличение услуг туроператоров 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турагентов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1% - объем предоставленных платных услуг составил 2 500 млн.руб. (в 2023 году – 2 475,9 млн.руб.); услуги специализированных организаций (санаторно-курортные организации, организации отдыха, турбазы и т.п.) увеличились на 0,6% и составили 1 600 млн.руб. (в 2023 году – 1 591,1 млн.руб.); 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услуги гостиниц и аналогичных средств размещения выросли на 1% и составили 2 800 млн. рублей, а сумма налогов в консолидированный бюджет Иркутской области от деятельности по размещению посетителей, предоставлению услуг общественного питания, деятельности турагентств и туроператоров за 2024 год составила 1 850 млн. рублей, что на 2,6% больше, чем в 2023 году (1 802,4 млн.руб.).</w:t>
      </w:r>
      <w:proofErr w:type="gramEnd"/>
    </w:p>
    <w:p w:rsidR="00470868" w:rsidRPr="00D70F0E" w:rsidRDefault="00470868" w:rsidP="004708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68" w:rsidRPr="00D70F0E" w:rsidRDefault="00470868" w:rsidP="00470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0F7A9D48" wp14:editId="6DF09970">
            <wp:extent cx="5768503" cy="2110902"/>
            <wp:effectExtent l="0" t="0" r="22860" b="22860"/>
            <wp:docPr id="676" name="Диаграмма 67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Слюдянского района осуществляют свою деятельность 6 туроператоров, зарегистрированных в установленном законом порядке («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Байкал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.Э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кология.Туризм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», «Байкальская сказка», «Аккорд»,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Диалан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Байкал», «БГК «Гора Соболиная», «Транзит»), а также 2 гида-экскурсовода, прошедших аттестацию и аккредитованных 2 гида-проводника.</w:t>
      </w:r>
    </w:p>
    <w:p w:rsidR="00470868" w:rsidRPr="00D70F0E" w:rsidRDefault="00470868" w:rsidP="00470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68" w:rsidRPr="00D70F0E" w:rsidRDefault="00470868" w:rsidP="00470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показатели развития туристской деятельности Слюдянского района за пятилетний период (2020-2024 годы)</w:t>
      </w:r>
    </w:p>
    <w:tbl>
      <w:tblPr>
        <w:tblStyle w:val="325"/>
        <w:tblW w:w="9320" w:type="dxa"/>
        <w:tblLayout w:type="fixed"/>
        <w:tblLook w:val="04A0" w:firstRow="1" w:lastRow="0" w:firstColumn="1" w:lastColumn="0" w:noHBand="0" w:noVBand="1"/>
      </w:tblPr>
      <w:tblGrid>
        <w:gridCol w:w="2518"/>
        <w:gridCol w:w="992"/>
        <w:gridCol w:w="850"/>
        <w:gridCol w:w="850"/>
        <w:gridCol w:w="850"/>
        <w:gridCol w:w="850"/>
        <w:gridCol w:w="850"/>
        <w:gridCol w:w="1560"/>
      </w:tblGrid>
      <w:tr w:rsidR="00470868" w:rsidRPr="00D70F0E" w:rsidTr="00B56D1C">
        <w:tc>
          <w:tcPr>
            <w:tcW w:w="2518" w:type="dxa"/>
          </w:tcPr>
          <w:p w:rsidR="00470868" w:rsidRPr="00D70F0E" w:rsidRDefault="00470868" w:rsidP="00B56D1C">
            <w:pPr>
              <w:ind w:firstLine="567"/>
              <w:jc w:val="both"/>
            </w:pPr>
            <w:r w:rsidRPr="00D70F0E">
              <w:t xml:space="preserve">Показатель </w:t>
            </w:r>
          </w:p>
        </w:tc>
        <w:tc>
          <w:tcPr>
            <w:tcW w:w="992" w:type="dxa"/>
          </w:tcPr>
          <w:p w:rsidR="00470868" w:rsidRPr="00D70F0E" w:rsidRDefault="00470868" w:rsidP="00B56D1C">
            <w:r w:rsidRPr="00D70F0E">
              <w:t>2020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2021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2022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2023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2024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Темп роста 2024 к 2023 г., %</w:t>
            </w:r>
          </w:p>
        </w:tc>
        <w:tc>
          <w:tcPr>
            <w:tcW w:w="1560" w:type="dxa"/>
          </w:tcPr>
          <w:p w:rsidR="00470868" w:rsidRPr="00D70F0E" w:rsidRDefault="00470868" w:rsidP="00B56D1C">
            <w:r w:rsidRPr="00D70F0E">
              <w:t>Доля показателей Слюдянского района в показателях Иркутской области за 2024 г.,%</w:t>
            </w:r>
          </w:p>
        </w:tc>
      </w:tr>
      <w:tr w:rsidR="00470868" w:rsidRPr="00D70F0E" w:rsidTr="00B56D1C">
        <w:tc>
          <w:tcPr>
            <w:tcW w:w="2518" w:type="dxa"/>
          </w:tcPr>
          <w:p w:rsidR="00470868" w:rsidRPr="00D70F0E" w:rsidRDefault="00470868" w:rsidP="00B56D1C">
            <w:pPr>
              <w:jc w:val="both"/>
            </w:pPr>
            <w:r w:rsidRPr="00D70F0E">
              <w:t xml:space="preserve">Туристско-экскурсионный  поток, </w:t>
            </w:r>
            <w:proofErr w:type="spellStart"/>
            <w:r w:rsidRPr="00D70F0E">
              <w:t>тыс</w:t>
            </w:r>
            <w:proofErr w:type="gramStart"/>
            <w:r w:rsidRPr="00D70F0E">
              <w:t>.ч</w:t>
            </w:r>
            <w:proofErr w:type="gramEnd"/>
            <w:r w:rsidRPr="00D70F0E">
              <w:t>ел</w:t>
            </w:r>
            <w:proofErr w:type="spellEnd"/>
            <w:r w:rsidRPr="00D70F0E">
              <w:t>.</w:t>
            </w:r>
          </w:p>
        </w:tc>
        <w:tc>
          <w:tcPr>
            <w:tcW w:w="992" w:type="dxa"/>
          </w:tcPr>
          <w:p w:rsidR="00470868" w:rsidRPr="00D70F0E" w:rsidRDefault="00470868" w:rsidP="00B56D1C">
            <w:r w:rsidRPr="00D70F0E">
              <w:t>243,210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286,64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325,51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330,5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335,3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101,5</w:t>
            </w:r>
          </w:p>
        </w:tc>
        <w:tc>
          <w:tcPr>
            <w:tcW w:w="1560" w:type="dxa"/>
          </w:tcPr>
          <w:p w:rsidR="00470868" w:rsidRPr="00D70F0E" w:rsidRDefault="00470868" w:rsidP="00B56D1C">
            <w:pPr>
              <w:rPr>
                <w:lang w:val="en-US"/>
              </w:rPr>
            </w:pPr>
            <w:r w:rsidRPr="00D70F0E">
              <w:t>18,6</w:t>
            </w:r>
          </w:p>
        </w:tc>
      </w:tr>
      <w:tr w:rsidR="00470868" w:rsidRPr="00D70F0E" w:rsidTr="00B56D1C">
        <w:tc>
          <w:tcPr>
            <w:tcW w:w="2518" w:type="dxa"/>
          </w:tcPr>
          <w:p w:rsidR="00470868" w:rsidRPr="00D70F0E" w:rsidRDefault="00470868" w:rsidP="00B56D1C">
            <w:pPr>
              <w:jc w:val="both"/>
            </w:pPr>
            <w:r w:rsidRPr="00D70F0E">
              <w:t>Объем туристских услуг, млн.руб.</w:t>
            </w:r>
          </w:p>
        </w:tc>
        <w:tc>
          <w:tcPr>
            <w:tcW w:w="992" w:type="dxa"/>
          </w:tcPr>
          <w:p w:rsidR="00470868" w:rsidRPr="00D70F0E" w:rsidRDefault="00470868" w:rsidP="00B56D1C">
            <w:r w:rsidRPr="00D70F0E">
              <w:t>356,3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480,9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509,9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532,9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504,5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94,6</w:t>
            </w:r>
          </w:p>
        </w:tc>
        <w:tc>
          <w:tcPr>
            <w:tcW w:w="1560" w:type="dxa"/>
          </w:tcPr>
          <w:p w:rsidR="00470868" w:rsidRPr="00D70F0E" w:rsidRDefault="00470868" w:rsidP="00B56D1C">
            <w:r w:rsidRPr="00D70F0E">
              <w:t>7,3</w:t>
            </w:r>
          </w:p>
        </w:tc>
      </w:tr>
      <w:tr w:rsidR="00470868" w:rsidRPr="00D70F0E" w:rsidTr="00B56D1C">
        <w:tc>
          <w:tcPr>
            <w:tcW w:w="2518" w:type="dxa"/>
          </w:tcPr>
          <w:p w:rsidR="00470868" w:rsidRPr="00D70F0E" w:rsidRDefault="00470868" w:rsidP="00B56D1C">
            <w:pPr>
              <w:jc w:val="both"/>
            </w:pPr>
            <w:r w:rsidRPr="00D70F0E">
              <w:t>Количество КСР, ед.</w:t>
            </w:r>
          </w:p>
        </w:tc>
        <w:tc>
          <w:tcPr>
            <w:tcW w:w="992" w:type="dxa"/>
          </w:tcPr>
          <w:p w:rsidR="00470868" w:rsidRPr="00D70F0E" w:rsidRDefault="00470868" w:rsidP="00B56D1C">
            <w:r w:rsidRPr="00D70F0E">
              <w:t>49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48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48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48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48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100</w:t>
            </w:r>
          </w:p>
        </w:tc>
        <w:tc>
          <w:tcPr>
            <w:tcW w:w="1560" w:type="dxa"/>
          </w:tcPr>
          <w:p w:rsidR="00470868" w:rsidRPr="00D70F0E" w:rsidRDefault="00470868" w:rsidP="00B56D1C">
            <w:r w:rsidRPr="00D70F0E">
              <w:t>7,1</w:t>
            </w:r>
          </w:p>
        </w:tc>
      </w:tr>
      <w:tr w:rsidR="00470868" w:rsidRPr="00D70F0E" w:rsidTr="00B56D1C">
        <w:tc>
          <w:tcPr>
            <w:tcW w:w="2518" w:type="dxa"/>
          </w:tcPr>
          <w:p w:rsidR="00470868" w:rsidRPr="00D70F0E" w:rsidRDefault="00470868" w:rsidP="00B56D1C">
            <w:pPr>
              <w:jc w:val="both"/>
            </w:pPr>
            <w:r w:rsidRPr="00D70F0E">
              <w:t>Количество койко-мест, ед.</w:t>
            </w:r>
          </w:p>
        </w:tc>
        <w:tc>
          <w:tcPr>
            <w:tcW w:w="992" w:type="dxa"/>
          </w:tcPr>
          <w:p w:rsidR="00470868" w:rsidRPr="00D70F0E" w:rsidRDefault="00470868" w:rsidP="00B56D1C">
            <w:r w:rsidRPr="00D70F0E">
              <w:t>3108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3118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3118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3118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3118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100</w:t>
            </w:r>
          </w:p>
        </w:tc>
        <w:tc>
          <w:tcPr>
            <w:tcW w:w="1560" w:type="dxa"/>
          </w:tcPr>
          <w:p w:rsidR="00470868" w:rsidRPr="00D70F0E" w:rsidRDefault="00470868" w:rsidP="00B56D1C">
            <w:pPr>
              <w:rPr>
                <w:lang w:val="en-US"/>
              </w:rPr>
            </w:pPr>
            <w:r w:rsidRPr="00D70F0E">
              <w:t>н/д</w:t>
            </w:r>
          </w:p>
        </w:tc>
      </w:tr>
      <w:tr w:rsidR="00470868" w:rsidRPr="00D70F0E" w:rsidTr="00B56D1C">
        <w:tc>
          <w:tcPr>
            <w:tcW w:w="2518" w:type="dxa"/>
          </w:tcPr>
          <w:p w:rsidR="00470868" w:rsidRPr="00D70F0E" w:rsidRDefault="00470868" w:rsidP="00B56D1C">
            <w:pPr>
              <w:jc w:val="both"/>
            </w:pPr>
            <w:r w:rsidRPr="00D70F0E">
              <w:t>Количество туроператоров, зарегистрированных в Реестре, ед.</w:t>
            </w:r>
          </w:p>
        </w:tc>
        <w:tc>
          <w:tcPr>
            <w:tcW w:w="992" w:type="dxa"/>
          </w:tcPr>
          <w:p w:rsidR="00470868" w:rsidRPr="00D70F0E" w:rsidRDefault="00470868" w:rsidP="00B56D1C">
            <w:r w:rsidRPr="00D70F0E">
              <w:t>5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5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6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6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6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100</w:t>
            </w:r>
          </w:p>
        </w:tc>
        <w:tc>
          <w:tcPr>
            <w:tcW w:w="1560" w:type="dxa"/>
          </w:tcPr>
          <w:p w:rsidR="00470868" w:rsidRPr="00D70F0E" w:rsidRDefault="00470868" w:rsidP="00B56D1C">
            <w:r w:rsidRPr="00D70F0E">
              <w:t>4,7</w:t>
            </w:r>
          </w:p>
        </w:tc>
      </w:tr>
      <w:tr w:rsidR="00470868" w:rsidRPr="00D70F0E" w:rsidTr="00B56D1C">
        <w:tc>
          <w:tcPr>
            <w:tcW w:w="2518" w:type="dxa"/>
          </w:tcPr>
          <w:p w:rsidR="00470868" w:rsidRPr="00D70F0E" w:rsidRDefault="00470868" w:rsidP="00B56D1C">
            <w:pPr>
              <w:jc w:val="both"/>
            </w:pPr>
            <w:r w:rsidRPr="00D70F0E">
              <w:t>Количество мероприятий Событийного календаря, ед.</w:t>
            </w:r>
          </w:p>
        </w:tc>
        <w:tc>
          <w:tcPr>
            <w:tcW w:w="992" w:type="dxa"/>
          </w:tcPr>
          <w:p w:rsidR="00470868" w:rsidRPr="00D70F0E" w:rsidRDefault="00470868" w:rsidP="00B56D1C">
            <w:r w:rsidRPr="00D70F0E">
              <w:t>59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64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63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84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84</w:t>
            </w:r>
          </w:p>
        </w:tc>
        <w:tc>
          <w:tcPr>
            <w:tcW w:w="850" w:type="dxa"/>
          </w:tcPr>
          <w:p w:rsidR="00470868" w:rsidRPr="00D70F0E" w:rsidRDefault="00470868" w:rsidP="00B56D1C">
            <w:r w:rsidRPr="00D70F0E">
              <w:t>100</w:t>
            </w:r>
          </w:p>
        </w:tc>
        <w:tc>
          <w:tcPr>
            <w:tcW w:w="1560" w:type="dxa"/>
          </w:tcPr>
          <w:p w:rsidR="00470868" w:rsidRPr="00D70F0E" w:rsidRDefault="00470868" w:rsidP="00B56D1C">
            <w:r w:rsidRPr="00D70F0E">
              <w:t>н/д</w:t>
            </w:r>
          </w:p>
        </w:tc>
      </w:tr>
    </w:tbl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Помимо этого, на территории Слюдянского района продолжает функционировать особая экономическая зона туристско-рекреационного типа  «Ворота Байкала», предназначенная для развития на её территории туристской инфраструктуры. Здесь действует особый режим предпринимательской деятельности, который предусматривает освобождение резидентов ОЭЗ от земельного и имущественного налогов и снижение налога на прибыль. Подробный отчет о деятельности ОЭЗ представлен в разделе «Инвестиции».</w:t>
      </w:r>
    </w:p>
    <w:p w:rsidR="00715823" w:rsidRDefault="00470868">
      <w:r w:rsidRPr="00D70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7301DD5" wp14:editId="2BF52FF3">
                <wp:simplePos x="0" y="0"/>
                <wp:positionH relativeFrom="column">
                  <wp:posOffset>118110</wp:posOffset>
                </wp:positionH>
                <wp:positionV relativeFrom="paragraph">
                  <wp:posOffset>243840</wp:posOffset>
                </wp:positionV>
                <wp:extent cx="5867400" cy="457200"/>
                <wp:effectExtent l="57150" t="38100" r="95250" b="114300"/>
                <wp:wrapNone/>
                <wp:docPr id="77" name="Прямоугольник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7400" cy="4572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F81BD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4F81BD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4F81BD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470868" w:rsidRPr="00AC2EF1" w:rsidRDefault="00470868" w:rsidP="0047086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</w:rPr>
                              <w:t>РАЗВИТИЕ ТУРИЗМА, КАК ОДНОГО ИЗ СТРАТЕГИЧЕСКИХ НАПРАВЛЕНИЙ РАЗВИТИЯ ТЕРРИТОРИИ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0" o:spid="_x0000_s1026" style="position:absolute;margin-left:9.3pt;margin-top:19.2pt;width:462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" fillcolor="#2c5d98" stroked="f">
                <v:fill color2="#3a7ccb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470868" w:rsidRPr="00AC2EF1" w:rsidRDefault="00470868" w:rsidP="0047086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</w:rPr>
                        <w:t>РАЗВИТИЕ ТУРИЗМА, КАК ОДНОГО ИЗ СТРАТЕГИЧЕСКИХ НАПРАВЛЕНИЙ РАЗВИТИЯ ТЕРРИТОРИИ</w:t>
                      </w:r>
                    </w:p>
                  </w:txbxContent>
                </v:textbox>
              </v:rect>
            </w:pict>
          </mc:Fallback>
        </mc:AlternateContent>
      </w:r>
    </w:p>
    <w:p w:rsidR="00470868" w:rsidRDefault="00470868"/>
    <w:p w:rsidR="00470868" w:rsidRDefault="00470868" w:rsidP="00470868">
      <w:pPr>
        <w:tabs>
          <w:tab w:val="left" w:pos="6660"/>
        </w:tabs>
      </w:pPr>
      <w:r>
        <w:tab/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Слюдянский район находится в непосредственной близости к наследию ЮНЕСКО – озеру Байкал, который, согласно рейтингам аналитического агентства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ТурСтат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возглавляет рейтинг самых посещаемых озер России наряду с Ладогой и Селигером. Также Байкал вошел в топ-10 самых любимых мест для отдыха на Рождественских каникулах. По рейтингам, представленным российским сервисом бронирования жилья для отдыха Tvil.ru, озеро Байкал с большим отрывом занимает 1-е место среди озер, выбираемых туристами, чтобы кататься на ледяном покрове – на любых средствах передвижения, а также занимает второе место в новом направлении – фитнес туризм в России. </w:t>
      </w:r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Иркутская область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2024 году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заняла 26 место в Национальном туристическом рейтинге и вошла в «золотую» группу «Лидеров» регионов, наиболее привлекательных для отечественных и иностранных туристов.  Также Байкал и Иркутская область вошли в десятку самых живописных маршрутов для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треккинга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опросам пользователей сервиса. Прибайкальский национальный парк входит в топ-3 природных парков страны, популярных для экотуризма. А маршрут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Кругобайкальская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железная дорога» вошел в ТОП-5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лучших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турмаршрутов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версии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National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Geographic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Traveler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841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вышеизложенным, одной из задач Стратегии в первом этапе была диверсификация экономики района посредством развития 2-х приоритетных направлений, одно из которых - туризм. В связи с чем, в 2019-2024 году уделялось особое внимание данному направлению.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70868" w:rsidRPr="00B71841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 </w:t>
      </w:r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Территория Слюдянского района входит в кластер Прибайкальской территории Иркутской области под туристским брендом «Южное Прибайкалье» с одноименным названием </w:t>
      </w:r>
      <w:proofErr w:type="spellStart"/>
      <w:r w:rsidRPr="00B718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подкластера</w:t>
      </w:r>
      <w:proofErr w:type="spellEnd"/>
      <w:r w:rsidRPr="00B718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макро-</w:t>
      </w:r>
      <w:proofErr w:type="spellStart"/>
      <w:r w:rsidRPr="00B71841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дестинации</w:t>
      </w:r>
      <w:proofErr w:type="spellEnd"/>
      <w:r w:rsidRPr="00B7184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Однако в связи с нахождением большей части Слюдянского района в границах Центральной экологической зоны Байкальской природной территории, развитие туризма здесь возможно в рамках Правил организации туризма и отдыха в ЦЭЗ БПТ Иркутской области, которые разработаны на уровне Правительства Иркутской области.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Основой для развития туризма служит создание туристско-рекреационных зон, которые представляют собой зоны, перспективные для развития туризма на основе анализа правовых природоохранных ограничений ЦЭЗ БПТ с учетом существующих хозяйственно-экономических функций и сложившегося рекреационного использования территории.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Проведенная ФГБУ Науки Институт географии им. В.Б.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Сочавы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Сибирского отделения РАН (в рамках отчета о научно-исследовательской работе по теме «Расчет норм рекреационной нагрузки для организованного и неорганизованного отдыха в ЦЭЗ БПТ Иркутской области») оценка состояния природных экосистем показала высокую степень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деградированности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природных экосистем (IV и V степень дигрессии) на туристических зонах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Новоснежнинского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образования.</w:t>
      </w:r>
      <w:proofErr w:type="gramEnd"/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уменьшения рекреационной нагрузки необходимо равномерное распределение туристического потока по всей территории Южного Прибайкалья за счет перераспределения нагрузки с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микродестинации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Новоснежнинского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 на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микродестинации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«КБЖД»,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-Култук-Тибельти», «Утулик-Байкальск».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Основными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микродестинациями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являются: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I.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-Култук-Тибельти»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Населенные пункты микро-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дестинации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входят в маршруты «Сибирский тракт на Великом чайном пути», «Байкал-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Тункинская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долина-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Хубсугул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», при этом каждый из них имеет собственное позиционирование: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Култук - самый древний поселок на берегу оз. Байкал, что служит успешной реализации здесь познавательного проекта «Сибирский тракт на Великом чайном пути» в рамках подписанного в 2023 году 4-стороннего соглашения  о намерениях межмуниципального сотрудничества с администрациями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Шелеховского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Усольского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районов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Иркутской области и администрацией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Республики Бурятия, при сопровождении ИРНИТУ.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объектами притяжения в Култуке станут туристическая тропа «Великий чайный путь», старейшая улица на юге Байкала – Октябрьская (ранее Большая), инвестиционный проект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Кругобайкальская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железная дорога»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и ООО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Култукский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острог», а также территория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Таловских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болот, которая является участком Южно-Байкальского миграционного коридора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соколообразных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ключевого участка орнитологической территории международного значения.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позиционируется как территория равных возможностей -  город с концептом развития инклюзивного и детского туризма «Доступный Байкал». В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Слюдянке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уже создана первая в Иркутской области инклюзивная эко-тропа – туристический маршрут в горы «Иду на пик». В среднесрочной перспективе планируется создание еще двух инклюзивных маршрутов – тропа по берегу оз. Байкал «Иду на Мыс».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Основным позиционированием территории является концепт «Здесь начинается Байкал», который был успешно защищён администрацией Слюдянского городского поселения в Московской школе управления «СКОЛКОВО» по программе «Обучение команд, управляющих проектами развития городов с высоким туристическим потенциалом: индустрия гостеприимства как драйвер городского и регионального развития».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планируется реализация проекта «Тропа-музей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Кругобайкалка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»» - по благоустройству набережной города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Проект дополняет маршрут «Сибирский тракт на Великом Чайном пути», поскольку строительство КБЖД ознаменовало завершение истории эксплуатации Сибирского тракта.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Тибельти - территория по развитию сельского туризма, а также является частью маршрутов «Сибирский тракт на Великом Чайном пути» и «Байкал-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Тункинская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долина-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Хубсугул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». Одной из основных точек притяжения предполагается семейная туристическая база отдыха «Твоя стихия» со стилизацией под острог. Генеральный план базы отдыха разрабатывается при участии кафедры архитектуры ИРНИТУ.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II. «КБЖД» (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-Байкал (порт))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- территория реализации проекта «КБЖД: развитие туристического кластера» под руководством Агентства по туризму Иркутской области, особо охраняемая природная территория федерального значения – Прибайкальский национальный парк и ОАО «РЖД».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III. «Утулик - Байкальск»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Утулик позиционируется как ремесленная деревня мастеров народных промыслов, с получением имиджа «Самая красивая деревня России», а также часть туристического маршрута «Екатерининская верста на Большом Сибирском тракте».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Байкальск – город, на территории которого расположена особая экономическая зона туристско-рекреационного типа «Ворота Байкала», которая представляет собой территорию с развитой туристской инфраструктурой, а также промышленной площадки БЦБК, которая в настоящее время позиционируется как всероссийский молодежный кампус «ЭКО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.Ц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ЕХ». В программе социально-экономического развития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.Б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айкальска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2040 года планируется создание Кластера креативных индустрий природной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Утуликско-Бабхинской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зоны. Природные богатства данной зоны обеспечивают туристическую привлекательность создаваемых экологических троп.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IV. Новоснежная</w:t>
      </w:r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территория реализации проекта по развитию эко-туризма – экопарк «Озера на Снежной», а также формируемая совместно с Агентством по туризму Иркутской области, ОГБУ «Центр компетенций», ИРНИТУ и ИГ СО РАН туристическая площадка организованного туризма.  </w:t>
      </w:r>
      <w:proofErr w:type="gramEnd"/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68" w:rsidRPr="00AC1756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17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Хорошая доступность, небольшая удаленность туристических локаций Слюдянского района обеспечивает низкую долю транспортной логистики в турпродукте, делает его </w:t>
      </w:r>
      <w:r w:rsidRPr="00AC175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конкурентным, обеспечивает для туристов экономию времени и денег на транспорте, увеличивает турпоток, способствует развитию местной экономики. </w:t>
      </w:r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1756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настоящее время уже была проделана работа, направленная на формирование конкурентных преимуществ макро-</w:t>
      </w:r>
      <w:proofErr w:type="spellStart"/>
      <w:r w:rsidRPr="00AC1756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дестинации</w:t>
      </w:r>
      <w:proofErr w:type="spellEnd"/>
      <w:r w:rsidRPr="00AC17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«Южное Прибайкалье».</w:t>
      </w:r>
    </w:p>
    <w:p w:rsidR="00470868" w:rsidRPr="00F04AB9" w:rsidRDefault="00470868" w:rsidP="00470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68" w:rsidRPr="00F04AB9" w:rsidRDefault="00470868" w:rsidP="00470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Направления, проведенные в рамках I этапа реализации Стратегии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проведена  работа по обоснованию наиболее распространенных видов туризма, являющихся базой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подкластера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которые будут являться специализацией Южного Прибайкалья как комплексной туристской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дестинации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proofErr w:type="gram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Так, Стратегией определены 2 приоритетных вида туризма – культурно-познавательный (в состав которого входит исторический, гастрономический, событийный туризм) и  оздоровительный туризм (в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. спортивный, активный, событийный, гастрономический).</w:t>
      </w:r>
      <w:proofErr w:type="gramEnd"/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осуществлено брендирование территории как "Южное Прибайкалье", которое получило признание на общероссийском уровне и разработаны элементы айдентики бренда, проводится ежегодная работа по продвижению (участие в международных и региональных MICE мероприятиях) и популяризации бренда (разработана и выпускается полиграфическая продукция, в том числе с использованием современных VR-технологий, а также созданы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популяризационные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видеоролики о территории и достопримечательностях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макродестинации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«Южное Прибайкалье»), что способствует созданию консистентного</w:t>
      </w:r>
      <w:proofErr w:type="gram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образа бренда, имеющего большое значение для долгосрочного успеха.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осуществлено единое позиционирование Южного Прибайкалья как территории оздоровительного и познавательного туризма, включающего в себя также активный, экологический, созерцательный туризм, которая включает в себя старейший поселок на юге Байкала с сохранившейся до наших дней первой улицей, по которой проходил Сибирский трак</w:t>
      </w:r>
      <w:proofErr w:type="gram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т-</w:t>
      </w:r>
      <w:proofErr w:type="gram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часть Великого Чайного пути; участок железной дороги, построенной в начале XX века и являющейся памятником инженерного искусства под названием «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Кругобайкальская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железная дорога», а также горнолыжный курорт и сеть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экотроп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установлены межмуниципальные и межрегиональные связи по развитию совместных проектов, таких как: «Байкал-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Тункинская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долина-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Хубсугул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«Сибирский тракт на Великом чайном пути» в сотрудничестве с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Усольским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Шелеховским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районами Иркутской области и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Тункинским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районом Республики Бурятия. 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азработаны новые маршруты, представляющие собой потенциал развития территории в целях увеличения тур потока и (или) увеличения количества дней пребывания в макро-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дестинации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(трансграничный маршрут «Байкал-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Тункинская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долина-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Хубсугул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»;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автомаршрут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«Сибирский тракт на Великом чайном пути», продвигаемый в рамках 4-стороннего Соглашения между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Слюдянским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Усольским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Шелеховским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районами Иркутской области и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Тункинским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районом Республики Бурятия, маршрут по тропам Южного Прибайкалья, состоящего из сети парковых троп общей протяженностью 18,4 км. 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проведена работа по созданию брендовой сувенирной продукции (создан каталог брендовой сувенирной продукции Южного Прибайкалья, в который на сегодняшний день включен 61 сувенир, созданный мастерами-ремесленниками всего Слюдянского района)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рамках развития сопутствующего сервиса создана сеть туристско-информационных центров, в составе которой 2 ТИЦ-а, организованных на базе библиотек (в г.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 г. Байкальск) и 1 ТИЦ на площадке индивидуального предпринимателя в г.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), в настоящее время, при обращении туриста в любой из туристско-информационных центров Слюдянского района, он получает консолидированную информацию по всему Южному Прибайкалью (список средств размещения, точек</w:t>
      </w:r>
      <w:proofErr w:type="gram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общественного питания, достопримечательностей и т.п.). Это позволяет туристу экономить время на поиски данной информации и быстрее определиться с маршрутом следования, обеспечивая более качественный отдых.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proofErr w:type="gram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рамках развития жизнеобеспечивающей инфраструктуры производится капитальный ремонт автомобильной дороги "Проезд к рекреационной зоне" к эко-парку «Озера на Снежной» (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Новоснежнинское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МО). С учетом дополнительных соглашений сумма муниципального контракта составила 132,9 млн. рублей. Ремонт будет осуществляться в 3 этапа и завершится в 2025 году.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рамках развития основной инфраструктуры 5 представителей СМСП  получили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софинансирование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областного бюджета в размере 118 300 000 рублей на создание модульных отелей. Также 2 представителя предпринимательского сообщества Слюдянского района стали победителями в конкурсе Федерального агентства по туризму на предоставление субсидий из федерального бюджета на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грантовую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поддержку общественных и предпринимательских инициатив, направленных на развитие внутреннего и въездного туризма, в сумме 2 100 000 рублей (для реализации проекта по строительству тропы до пика Порожистый из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.У</w:t>
      </w:r>
      <w:proofErr w:type="gram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тулик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и 3 000 000 рублей (для реализации проекта по созданию кемпинга </w:t>
      </w:r>
      <w:proofErr w:type="gram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Тибельти) соответственно.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проекта «Сибирский тракт на Великом Чайном пути» в 2024 году был реализован инициативный проект «Туристическая тропа «Чайный путь» по обустройству тропы с установкой входной группы, информационных стендов», протяженностью 1 км. 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Всего за шестилетний период на территории 4 муниципальных образований Слюдянского района созданы 16 троп паркового типа общей протяженностью 15 км.</w:t>
      </w:r>
    </w:p>
    <w:p w:rsidR="00470868" w:rsidRPr="00F04AB9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установлены связи с организациями среднего профессионального звена по направлению "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Профессионалитет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 по достижению показателей трудоустройства выпускников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БТОТиС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снижению кадрового голода у субъектов малого и среднего предпринимательства в сфере туризма, а также по набору студентов в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БТОТиС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общеобразовательных учреждений всего района.</w:t>
      </w:r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осуществляется поддержка туристических клубов (3 клуба) и объединений, осуществляющих паспортизацию туристических маршрутов, создание брендовых сувениров, проведение событийных мероприятий по территории </w:t>
      </w:r>
      <w:proofErr w:type="spellStart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макродестинации</w:t>
      </w:r>
      <w:proofErr w:type="spellEnd"/>
      <w:r w:rsidRPr="00F04A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«Южное Прибайкалье».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2024 году была продолжена работа по 3-м основным направлениям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реализация проектов, продвижение Южного Прибайкалья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организаций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иче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ской инфраструктуры.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Реализация проектов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Проект по созданию брендовой сувенирной продукции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«Южное Прибайкалье: СВОЁ»</w:t>
      </w:r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р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еализаци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 данного проекта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вовлечен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 семьи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детьми с ОВЗ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многодетны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 семьи,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местные мастера-ремесленники, которые занимаются изготовлением сувениров на территории Слюдянского района.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оценки и включения сувенирных изделий в Реестр «Сувениры Южного Прибайкалья» был создан Экспертный совет в 2023 году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2024 году проведено 1 заседание с включением 18 сувениров.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конец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2024 года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Реестр включает 61 брендовый сувенир. Работа будет продолжена и в следующем отчетном периоде. 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2024 году на всех мероприятиях, проводимых на территории Южного Прибайкалья с предусмотренными торговыми рядами, участники проекта успешно реализовали сувенирную продукцию.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благодаря созданному Реестру брендовой сувенирной продукции Южного Прибайкалья и партнерству с ТИЦ-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Южного Прибайкалья и предпринимательским сообществом Слюдянского района, с 2023 года стала возможной реализация качественных брендовых сувениров Южного Прибайкалья в точках продаж, а также на мероприятиях, проводимых на территории Слюдянского района. Реализация данного проекта не только позволяет популяризировать Южное Прибайкалье на рынке туристических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услуг, но и, учитывая социальную направленность, положительно скажется на увеличении доходов семей, воспитывающих детей с ОВЗ и многодетных семей, что в свою очередь может оказать положительное влияние на сокращение оттока молодежи за пределы Слюдянского района.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в 2024 году в рамках работы по заключенным Соглашениям о сотрудничестве администрации Слюдянского муниципального района с МБОУ «СОШ № 10 г. Байкальска» и МБОУ «СОШ № 11 г. Байкальска» была продолжена работа по сотрудничеству школ о выпуске брендовой сувенирной продукции, которая изготавливается детьми-учащимися (в том числе детьми с ОВЗ)  общеобразовательных учреждений в 2-х техниках: мыловарение и создание сувениров из дерева, которые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последующем пополнили Реестр «Сувениры Южного Прибайкалья». Учащимися СОШ № 11 приобретены компетенции информационного программирования, в том числе навыки работы на приобретенном в 2023 году за счет средств бюджета района оборудовании с числовым программным управлением (ЧПУ) – область техники, связанная с применением цифровых вычислительных устрой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дл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я управления производственными процессами.   Учащимися СОШ № 10 приобретены навыки изобразительного искусства и мыловарения.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в рамках работы молодежного Клуба «Юный экскурсовод» в 2024 году на Всероссийский конкурс «Туристический сувенир-2024» был заявлен 21 сувенир из Реестра брендовой продукции «Сувениры Южного Прибайкалья». Из них 12 сувениров стали финалистами конкурса Сибирского федерального округа, который проходил в г. Абакан, а 2 сувенира из них получили дипломы Лауреатов II степени Всероссийского финала.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из бюджета по данному проекту составили 81 894 рубля.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Проект по развитию инклюзивного туризма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Администрацией Слюдянского муниципального района и филиалом Восточно-Сибирского отделения международного общественного движения «Родительская забота» реализует совместный проект по развитию инклюзивного туризма на Южном Прибайкалье. Так, проект состоит из нескольких направлений: создание доступной туристской инфраструктуры для людей с ОВЗ.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подписан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2022 году Соглашени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«Точкой Роста» МБОУ СОШ №10 г. Байкальска», с целью проведения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здоровьесберегающих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занятий дл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 детей с особыми потребностями,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2024 году было проведено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детей навыкам и компетенциям не только истории возникновения и технике выполнения скандинавской ходьбы, но и подготовке перечня туристических объектов Слюдянского района, подходящих для формирования инклюзивного туристического маршрута.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Данный перечень планируется передать в районный молодежный клуб «Экскурсоводы Южного Прибайкалья» для составления и паспортизации инклюзивного маршрута.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Проект «Сибирский тракт на Великом чайном пути»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декабре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ежегодного Форума предпринимателей Слюдянского района было подписано 4-стороннее соглашение  о намерениях межмуниципального сотрудничества с администрациями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Шелеховского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Усольского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районов Иркутской области и администрацией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Республики Бурятия по проекту «Сибирский тракт на Великом чайном пути». Согласно Соглашению, Стороны, в целях реализации Проекта, разрабатывают и создают условия, в том числе инвестиционные и инфраструктурные, направленные на социально-экономическое (в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 туристическое) развитие Сторон, а также проводят обмен опытом, представляющий взаимный интерес. На Форуме в 2024 году в рамках секции «Туризм» были подведены первые итоги работы по Соглашению, а также намечен совместный план работы на 2025 год.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 из бюджета района составили 20 000 рублей.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реализации вышеуказанного соглашения в Слюдянском районе активно ведется работа по созданию инфраструктуры в тематике «Великого чайного пути».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первой части тропы было осуществлено в рамках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инициативн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«Туристическая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тропа «Великий чайный путь». В рамках реализации данного проекта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2024 году был обустроен 1 км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туристической тропы в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Култук, а именно: отсыпана тропа, установлена входная группа, информационные стенды и указатели. В реализации данного проекта были задействованы сотрудники администраций Слюдянского района и Култукского городского поселения, волонтеры штаба юнармейского движения по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району, школьники общеобразовательных учреждений Слюдянского района, общественных организаций и объединений. Также в рамках празднования Года семьи в обустройстве дополнительного отрезка маршрута – «Тропа здоровья» приняли участие 20 многодетных семей Слюдянского района. Бюджет проекта составил 2 млн. рублей, в том числе 1 700 000 рублей – из областного бюджета и 300 000 рублей составил инициативный платеж инвестора - ООО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Култукский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острог». Кроме того на проведение мероприятия, посвященное Году семьи расходы из бюджета Слюдянского муниципального района составили 70 000 рублей.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2024 году в продолжение реализованного проекта были направлены 2 заявки на реализацию инициативных проектов: «Туристическая тропа «Чайный путь. Благоустройство» и «Туристическая тропа «Чайный путь. Освещение», которые одержали победу и будут реализованы в 2025 году. Каждый проект предусматривает привлечение областного финансирования в размере 2 млн. рублей, а также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софинансирование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инвестор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а ООО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Култукский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острог» в размере 531 646 рублей по каждому проекту.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1.4. Молодежный клуб «Экскурсоводы Южного Прибайкалья»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году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администрацией Слюдянского района был поддержан районный молодёжный клуб, целью работы которого определены выявление, поддержка и реализация интеллектуального и творческого потенциала у молодёжи Слюдянского района, а также популяризация Южного Прибайкалья.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работы клуба участниками были проведены две культурно-исследовательских экспедиции на КБЖД:  первая в п. Байкал (порт), где исследовали  культурные и природные памятники, а также провели встречу с членом Союза писателей России В.П. Скифом, вторая в п.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 исследовали культурные памятники и познакомились с творческим наследием российского писателя Л. И. Бородина.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итогам проведенных экспедиций  участники клуба разработали 5 туристических паспортов объектов притяжения Слюдянского района, которые в дальнейшем будут включены в туристические маршруты Южного Прибайкалья.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из бюджета района составили 6 938 рублей 99 копеек.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1.5. Клуб путешественников «Байкал-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Дабан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Клуб путешественников "Байкал-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Дабан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создан для организации и проведения экскурсий по городу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Слюдянке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экскурсионных походов по Южному Прибайкалью. Проект является продолжением успешно реализованного проекта-победителя второго конкурса 2022 года. Президентского фонда культурных инициатив "Байкал-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Дабан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Клуб путешественников".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 реализации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грантового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 в течение 11 мес. 2022-2023 г. показал потребность, имеющуюся у подрастающего поколения в знакомстве и изучении исторического и природного наследия родного края.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проекта - формирование системы знаний у школьников, проживающих на территории Слюдянского района, о природном и культурном наследии озера Байкал через посещение туристических объектов Южного Прибайкалья.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Участниками 2 этапа проекта в 2024 году стала группа детей (от 7 до 13 лет) из 10 человек, отобранных по результатам конкурса, проведенного на основании Положения с  выполнением всех условий конкурса. По итогам реализации проекта в 2024 году была разработана и изготовлена (в 2-х экземплярах) настольная историко-краеведческая игра «Южное Прибайкалье».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Следующим этапом в 2025 году реализации проекта станет сотрудничество с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Усольским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районом в рамках Соглашение по проекту «Сибирский тракт на Великом чайном пути» с целью изучения участка Большого Сибирского тракта, проходившего по территории обоих районов с целью формирования системы знаний у школьников, проживающих на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территории Слюдянского района, об историческом и культурном наследии участка Большого Сибирского тракта через посещение туристических объектов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Усольского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районов. Участниками данного этапа проекта станет группа детей (8-14 лет) из 15 человек. Будут проведены работы по созданию настольной игры (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спилс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-карты участка Большого Сибирского тракта на территории Слюдянского 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Усольского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районов), которая будет представлена на секции «Туризм» на ежегодном Форуме предпринимателей Слюдянского района.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из бюджета Слюдянского муниципального района составили 56 149 рублей 02 копейки.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Таким образом, за шестилетний период реализации первого этапа Стратегии было поддержано 3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клубных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объединения. Помимо инициативного проекта на территории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Култук был выигран и реализован грант Президентского фонда культурных инициатив в размере 500 000 рублей по проекту «Память Байкала в окнах». Это проект по восстановлению обликов 15 домов на старейшей улице посёлка Култук - Октябрьской, имеющей историческое название ул.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Большая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Также в отчетный период успешно реализована уникальная муниципальная практика по созданию Реестра брендовой сувенирной продукции с вовлечением общественности (в том числе семей с особенностями развития) и местных мастеров-ремесленников. 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Мероприятия по продвижению Южного Прибайкалья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В 2024 году Слюдянский муниципальный район принял участие в ежегодной международной туристской выставке-форуме «Время отдыхать на Байкале», на площадке которой смогли представить себя и территорию Южного Прибайкалья 2 ТИЦ-а Слюдянского района, туроператор «Байкал. 4 сезона», а также представитель музейного дела </w:t>
      </w:r>
      <w:r w:rsidRPr="00484083">
        <w:rPr>
          <w:rFonts w:ascii="Times New Roman" w:eastAsia="Times New Roman" w:hAnsi="Times New Roman" w:cs="Times New Roman"/>
          <w:sz w:val="24"/>
          <w:szCs w:val="24"/>
          <w:lang w:eastAsia="ru-RU"/>
        </w:rPr>
        <w:t>«Ассоциация Центр туризма музейного дела и художественных ремесел». На данной выставке были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представлены брендовые сувениры из Реестра «Сувениры Южного Прибайкалья», высоко оцененные представителями Правительства Иркутской области и Агентства по туризму Иркутской области.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2.2. Также в отчетном периоде Слюдянский муниципальный район принял участие в I международной выставке-форуме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Интурмаркет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 Байкал», на которой были представлены настольные игры, разработанные детской библиотекой Слюдянского района: лото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Кругобайкалка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 От истории создания до наших дней», игра-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бродилка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«Путешествие по стране мраморных гор». Также район был представлен демонстрационным участком тропы здоровья, которую создали 20 семей Слюдянского района на туристической тропе «Чайный путь» в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 Култук и тематической полиграфической продукцией. Расходы из бюджета Слюдянского муниципального района составили 28 200 рублей.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В 2024 году была продолжена работа комиссии по аттестации гидов-экскурсоводов во исполнение Федерального закона от 20 апреля 2021 года № 93-ФЗ «О внесении изменений в Федеральный закон «Об основах туристской деятельности в Российской Федерации» в части правового регулирования деятельности экскурсоводов (гидов), гидов-переводчиков и инструкторов-проводников». Специалист администрации Слюдянского муниципального района является членом региональной комиссии по аттестации экскурсоводов (гидов), который принял участие в 10 заседаниях комиссии, на которой были успешно аттестованы 241 гид Иркутской области.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в данном направлении будет продолжена в 2025 году.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 В рамках заключенных Соглашений о сотрудничестве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клубами МБОУ СОШ №№ 10 и 11 с 2024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годаначал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реализовываться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 по созданию выставочного комплекса «Южное Прибайкалье». Проектом предусмотрены работы по созданию универсального макета из фанеры и магнитного поля,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олицетворяющих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территорию Слюдянского района (без точной  привязки к ландшафту и т.п.), на котором выставляются в зависимости от темы выставки (либо по виду маршрута, либо по виду туризма) достопримечательности Южного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Прибайкалья, а также представители флоры и фауны. Первым этапом работы на 2024-2025 годы запланированы разработка и создание основания и объектов, входящих в познавательный маршрут «Сибирский тракт». Расходы из бюджета Слюдянского муниципального района составили 50 000 рублей.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2.5. Также на протяжении 2024 года по программе приобреталась брендовая сувенирная продукция Южного Прибайкалья, которая была вручена на таких мероприятиях как: проект «Южное Прибайкалье: СВОЁ», открытие туристической тропы «Чайный путь», приуроченного к празднованию Всемирного Дня Туризма, ежегодный Форум предпринимателей Слюдянского района.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из бюджета составили 241 800 рублей.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3. Мероприятия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проводимые организациями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иче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ской инфраструктуры</w:t>
      </w:r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году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тремя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туристско-информационны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центра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 Южного Прибайкалья, в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рамках заключенных соглашений между администрацией Слюдянского муниципального района и ТИЦ-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.С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людянка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г.Байкальск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Слюдянского района, последними проводилась работа по консультированию гостей и туристов, прибывших на территорию Южного Прибайкалья. </w:t>
      </w:r>
    </w:p>
    <w:p w:rsidR="00470868" w:rsidRPr="00D70F0E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Так,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информацией к сотрудникам обратилось 4 777 человек (к 2 368 человек в 2023 году), а к разделу на сайте – 1 475 человек (к 1 425 человеку в 2023 г.). Помимо оказания консультационных услуг, ТИЦ-ы выступили партнерами в реализации ряда проектов: ярмарке-продаже брендовой сувенирной продукции на форуме предпринимателей Слюдянского района, участие в международной туристической выставке-форуме «Время отдыхать на Байкале», участие в международной туристической выставке-форуме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Интурмаркет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Байкал» и др. </w:t>
      </w:r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68" w:rsidRPr="00D70F0E" w:rsidRDefault="00470868" w:rsidP="00470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направлениями работы на 2025 год определены: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Реализация III этапа проекта по созданию брендовой сувенирной продукции «Южное Прибайкалье: СВОЁ». В том числе,  в рамках заключенного Соглашения о сотрудничестве с «СОШ №10 г. Байкальска» и «СОШ №11 г. Байкальска» с последующим финансированием программ в школах по направлениям: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-    скандинавская ходьба;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-  изготовление выставочного комплекса «Южное Прибайкалье»;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- изготовление сувениров из дерева с применением фрезерного (лазерного) гравировального  станка с ЧПУ;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роспись посуды с природными элементами бренда «Южное Прибайкалье» для последующего их включения в качестве брендовых сувениров в Реестр «Сувениры Южного Прибайкалья»; 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Реализация проектов ТИЦ и библиотеки Слюдянского муниципального района: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- клуб путешественников «Байкал-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Дабан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- молодежный клуб «Экскурсоводы Южного Прибайкалья».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 конкурсах, ярмарках с целью продвижения брендовой сувенирной продукции (в том числе, во всероссийском конкурсе «Туристический сувенир – 2025», международной туристической выставке-форуме «Время отдыхать на Байкале», международной туристической выставке-форуме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Интурмаркет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Байкал»).</w:t>
      </w:r>
      <w:proofErr w:type="gramEnd"/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Реализация проекта «Сибирский тракт на Великом чайном пути» совместно с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Усольским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районом и ИРНИТУ, а также реализация двух инициативных проектов «Туристическая тропа «Великий чайный путь» (Благоустройство и Освещение).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Проектная деятельность совместно с ИРНИТУ по концепции территориального развития прибрежной части Култукского МО в целях туристического развития.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6.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Проектная деятельность совместно с Агентством по туризму, ОГБУ «Центр компетенций», ИРНИТУ и ИГ СО РАН по формированию туристической площадки организованного туризма в п. Новоснежная. 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Проектная деятельность совместно с ГАПОУ 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БТОТиС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федеральному проекту «</w:t>
      </w:r>
      <w:proofErr w:type="spell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Профессионалитет</w:t>
      </w:r>
      <w:proofErr w:type="spell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</w:t>
      </w:r>
    </w:p>
    <w:p w:rsidR="00470868" w:rsidRPr="00D70F0E" w:rsidRDefault="00470868" w:rsidP="0047086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Совместная работа с инвесторами в рамках </w:t>
      </w:r>
      <w:proofErr w:type="gramStart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мастер-плана</w:t>
      </w:r>
      <w:proofErr w:type="gramEnd"/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развитию КБЖД.</w:t>
      </w:r>
    </w:p>
    <w:p w:rsidR="00470868" w:rsidRDefault="00470868" w:rsidP="004708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всех направлений работы будет продолжена в 2025 году в рамках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направлений, предусмотренных вторым этапом реализации Стратегии и </w:t>
      </w:r>
      <w:r w:rsidRPr="00D70F0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новой муниципальной программы «Содействие развитию предпринимательства и туризма в Слюдянском муниципальном районе»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70868" w:rsidRPr="00470868" w:rsidRDefault="00470868" w:rsidP="00470868">
      <w:pPr>
        <w:tabs>
          <w:tab w:val="left" w:pos="6660"/>
        </w:tabs>
      </w:pPr>
      <w:bookmarkStart w:id="0" w:name="_GoBack"/>
      <w:bookmarkEnd w:id="0"/>
    </w:p>
    <w:sectPr w:rsidR="00470868" w:rsidRPr="00470868" w:rsidSect="00DB7776">
      <w:headerReference w:type="default" r:id="rId11"/>
      <w:pgSz w:w="11906" w:h="16838"/>
      <w:pgMar w:top="1701" w:right="99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868" w:rsidRDefault="00470868" w:rsidP="00470868">
      <w:pPr>
        <w:spacing w:after="0" w:line="240" w:lineRule="auto"/>
      </w:pPr>
      <w:r>
        <w:separator/>
      </w:r>
    </w:p>
  </w:endnote>
  <w:endnote w:type="continuationSeparator" w:id="0">
    <w:p w:rsidR="00470868" w:rsidRDefault="00470868" w:rsidP="00470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868" w:rsidRDefault="00470868" w:rsidP="00470868">
      <w:pPr>
        <w:spacing w:after="0" w:line="240" w:lineRule="auto"/>
      </w:pPr>
      <w:r>
        <w:separator/>
      </w:r>
    </w:p>
  </w:footnote>
  <w:footnote w:type="continuationSeparator" w:id="0">
    <w:p w:rsidR="00470868" w:rsidRDefault="00470868" w:rsidP="004708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868" w:rsidRPr="00470868" w:rsidRDefault="00470868" w:rsidP="00470868">
    <w:pPr>
      <w:pStyle w:val="a6"/>
      <w:jc w:val="center"/>
      <w:rPr>
        <w:rFonts w:ascii="Times New Roman" w:hAnsi="Times New Roman" w:cs="Times New Roman"/>
      </w:rPr>
    </w:pPr>
    <w:r w:rsidRPr="00470868">
      <w:rPr>
        <w:rFonts w:ascii="Times New Roman" w:hAnsi="Times New Roman" w:cs="Times New Roman"/>
      </w:rPr>
      <w:t xml:space="preserve">Отчет </w:t>
    </w:r>
    <w:r>
      <w:rPr>
        <w:rFonts w:ascii="Times New Roman" w:hAnsi="Times New Roman" w:cs="Times New Roman"/>
      </w:rPr>
      <w:t xml:space="preserve">о развитии туризма в Слюдянском районе </w:t>
    </w:r>
    <w:r w:rsidRPr="00470868">
      <w:rPr>
        <w:rFonts w:ascii="Times New Roman" w:hAnsi="Times New Roman" w:cs="Times New Roman"/>
      </w:rPr>
      <w:t>за 2024 год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868"/>
    <w:rsid w:val="00470868"/>
    <w:rsid w:val="00715823"/>
    <w:rsid w:val="00DB4EBE"/>
    <w:rsid w:val="00DB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8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325">
    <w:name w:val="Сетка таблицы325"/>
    <w:basedOn w:val="a1"/>
    <w:next w:val="a3"/>
    <w:rsid w:val="004708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4708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708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086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70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70868"/>
  </w:style>
  <w:style w:type="paragraph" w:styleId="a8">
    <w:name w:val="footer"/>
    <w:basedOn w:val="a"/>
    <w:link w:val="a9"/>
    <w:uiPriority w:val="99"/>
    <w:unhideWhenUsed/>
    <w:rsid w:val="00470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708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8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325">
    <w:name w:val="Сетка таблицы325"/>
    <w:basedOn w:val="a1"/>
    <w:next w:val="a3"/>
    <w:rsid w:val="004708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4708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708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086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70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70868"/>
  </w:style>
  <w:style w:type="paragraph" w:styleId="a8">
    <w:name w:val="footer"/>
    <w:basedOn w:val="a"/>
    <w:link w:val="a9"/>
    <w:uiPriority w:val="99"/>
    <w:unhideWhenUsed/>
    <w:rsid w:val="004708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708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chart" Target="charts/chart4.xml"/><Relationship Id="rId4" Type="http://schemas.openxmlformats.org/officeDocument/2006/relationships/webSettings" Target="web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oleObject" Target="file:///\\dc2\&#1059;&#1069;\&#1043;&#1086;&#1083;&#1086;&#1074;&#1080;&#1085;&#1089;&#1082;&#1072;&#1103;%20&#1045;.&#1055;\&#1050;&#1057;&#1056;\&#1090;&#1091;&#1088;&#1087;&#1086;&#1090;&#1086;&#1082;\&#1090;&#1091;&#1088;&#1087;&#1086;&#1090;&#1086;&#1082;%20&#1089;%20&#1088;&#1072;&#1079;&#1073;&#1080;&#1074;&#1082;&#1086;&#1081;%20&#1087;&#1086;%20&#1082;&#1089;&#1088;%202024.xlsx" TargetMode="External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layout>
        <c:manualLayout>
          <c:xMode val="edge"/>
          <c:yMode val="edge"/>
          <c:x val="0.41860395945593992"/>
          <c:y val="0"/>
        </c:manualLayout>
      </c:layout>
      <c:overlay val="0"/>
      <c:txPr>
        <a:bodyPr/>
        <a:lstStyle/>
        <a:p>
          <a:pPr>
            <a:defRPr sz="105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3.2495714010560978E-2"/>
          <c:y val="0.17971054372581277"/>
          <c:w val="0.42743071381032566"/>
          <c:h val="0.65632629874408133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КСР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Лист1!$A$2:$A$6</c:f>
              <c:strCache>
                <c:ptCount val="5"/>
                <c:pt idx="0">
                  <c:v>Санатории</c:v>
                </c:pt>
                <c:pt idx="1">
                  <c:v>Гостиниц/хостелы</c:v>
                </c:pt>
                <c:pt idx="2">
                  <c:v>Меблированные комнаты</c:v>
                </c:pt>
                <c:pt idx="3">
                  <c:v>Базы (дома) отхыха, кемпинги</c:v>
                </c:pt>
                <c:pt idx="4">
                  <c:v>апартаменты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24</c:v>
                </c:pt>
                <c:pt idx="2">
                  <c:v>1</c:v>
                </c:pt>
                <c:pt idx="3">
                  <c:v>21</c:v>
                </c:pt>
                <c:pt idx="4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2240088657676198"/>
          <c:y val="0.26685339073100289"/>
          <c:w val="0.43981364765829556"/>
          <c:h val="0.49086627070879046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 sz="10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000" b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популярным точкам притяжения</a:t>
            </a:r>
            <a:endParaRPr lang="ru-RU" sz="100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6685650452780903E-2"/>
          <c:y val="0.29816388336073374"/>
          <c:w val="0.9391542162998856"/>
          <c:h val="0.6161331687972913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463762116531981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0.00</c:formatCode>
                <c:ptCount val="1"/>
                <c:pt idx="0">
                  <c:v>173.79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1.9580197482479963E-2"/>
                  <c:y val="-5.71378340365682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0.00</c:formatCode>
                <c:ptCount val="1"/>
                <c:pt idx="0">
                  <c:v>80.930000000000007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2633662470799938E-3"/>
                  <c:y val="2.637130801687763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0.00</c:formatCode>
                <c:ptCount val="1"/>
                <c:pt idx="0">
                  <c:v>16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Событийные мероприятия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9173164079269719E-2"/>
                  <c:y val="-7.47190447347927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0.00</c:formatCode>
                <c:ptCount val="1"/>
                <c:pt idx="0">
                  <c:v>11.42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Столбец2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437859456"/>
        <c:axId val="437860992"/>
        <c:axId val="0"/>
      </c:bar3DChart>
      <c:catAx>
        <c:axId val="43785945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6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437860992"/>
        <c:crosses val="autoZero"/>
        <c:auto val="0"/>
        <c:lblAlgn val="ctr"/>
        <c:lblOffset val="10"/>
        <c:tickLblSkip val="1"/>
        <c:noMultiLvlLbl val="0"/>
      </c:catAx>
      <c:valAx>
        <c:axId val="437860992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437859456"/>
        <c:crosses val="autoZero"/>
        <c:crossBetween val="between"/>
      </c:valAx>
    </c:plotArea>
    <c:legend>
      <c:legendPos val="t"/>
      <c:legendEntry>
        <c:idx val="4"/>
        <c:delete val="1"/>
      </c:legendEntry>
      <c:layout>
        <c:manualLayout>
          <c:xMode val="edge"/>
          <c:yMode val="edge"/>
          <c:x val="3.4993585678803792E-2"/>
          <c:y val="0.16155438262524877"/>
          <c:w val="0.9"/>
          <c:h val="0.11439207259671517"/>
        </c:manualLayout>
      </c:layout>
      <c:overlay val="0"/>
      <c:txPr>
        <a:bodyPr/>
        <a:lstStyle/>
        <a:p>
          <a:pPr>
            <a:defRPr sz="8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/>
              <a:t>Прибытия, тыс. чел.</a:t>
            </a:r>
          </a:p>
        </c:rich>
      </c:tx>
      <c:layout/>
      <c:overlay val="0"/>
    </c:title>
    <c:autoTitleDeleted val="0"/>
    <c:plotArea>
      <c:layout>
        <c:manualLayout>
          <c:layoutTarget val="inner"/>
          <c:xMode val="edge"/>
          <c:yMode val="edge"/>
          <c:x val="8.4101958630136003E-2"/>
          <c:y val="0.26705069647273916"/>
          <c:w val="0.5566196412948381"/>
          <c:h val="0.66538426942156526"/>
        </c:manualLayout>
      </c:layout>
      <c:radarChart>
        <c:radarStyle val="filled"/>
        <c:varyColors val="0"/>
        <c:ser>
          <c:idx val="0"/>
          <c:order val="0"/>
          <c:tx>
            <c:strRef>
              <c:f>Лист1!$CW$5</c:f>
              <c:strCache>
                <c:ptCount val="1"/>
                <c:pt idx="0">
                  <c:v>прибытия, тыс. чел.</c:v>
                </c:pt>
              </c:strCache>
            </c:strRef>
          </c:tx>
          <c:val>
            <c:numRef>
              <c:f>Лист1!$CW$7:$CW$18</c:f>
              <c:numCache>
                <c:formatCode>General</c:formatCode>
                <c:ptCount val="12"/>
                <c:pt idx="0">
                  <c:v>50.981999999999999</c:v>
                </c:pt>
                <c:pt idx="1">
                  <c:v>41.787999999999997</c:v>
                </c:pt>
                <c:pt idx="2">
                  <c:v>52.564</c:v>
                </c:pt>
                <c:pt idx="3">
                  <c:v>17.724</c:v>
                </c:pt>
                <c:pt idx="4">
                  <c:v>7.9720000000000004</c:v>
                </c:pt>
                <c:pt idx="5">
                  <c:v>24.948999999999998</c:v>
                </c:pt>
                <c:pt idx="6">
                  <c:v>42.347000000000001</c:v>
                </c:pt>
                <c:pt idx="7">
                  <c:v>34.721999999999994</c:v>
                </c:pt>
                <c:pt idx="8">
                  <c:v>21.399000000000001</c:v>
                </c:pt>
                <c:pt idx="9">
                  <c:v>11.278999999999998</c:v>
                </c:pt>
                <c:pt idx="10">
                  <c:v>5.7770000000000001</c:v>
                </c:pt>
                <c:pt idx="11">
                  <c:v>23.829000000000001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34286080"/>
        <c:axId val="437609216"/>
      </c:radarChart>
      <c:catAx>
        <c:axId val="234286080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txPr>
          <a:bodyPr/>
          <a:lstStyle/>
          <a:p>
            <a:pPr>
              <a:defRPr sz="900"/>
            </a:pPr>
            <a:endParaRPr lang="ru-RU"/>
          </a:p>
        </c:txPr>
        <c:crossAx val="437609216"/>
        <c:crosses val="autoZero"/>
        <c:auto val="1"/>
        <c:lblAlgn val="ctr"/>
        <c:lblOffset val="100"/>
        <c:noMultiLvlLbl val="0"/>
      </c:catAx>
      <c:valAx>
        <c:axId val="43760921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23428608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67923124391383605"/>
          <c:y val="0.40259118451370635"/>
          <c:w val="0.30226871189634025"/>
          <c:h val="0.3106375391836827"/>
        </c:manualLayout>
      </c:layout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0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2024 год, %</a:t>
            </a:r>
          </a:p>
        </c:rich>
      </c:tx>
      <c:layout>
        <c:manualLayout>
          <c:xMode val="edge"/>
          <c:yMode val="edge"/>
          <c:x val="9.5713139279696061E-2"/>
          <c:y val="4.711657067601533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2.4064822363791784E-2"/>
          <c:y val="0.32094431669494844"/>
          <c:w val="0.97593519106016635"/>
          <c:h val="0.43152117266930073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Лист1!$A$2:$A$5</c:f>
              <c:strCache>
                <c:ptCount val="4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</c:strCache>
            </c:strRef>
          </c:cat>
          <c:val>
            <c:numRef>
              <c:f>Лист1!$B$2:$B$5</c:f>
              <c:numCache>
                <c:formatCode>0.0%</c:formatCode>
                <c:ptCount val="4"/>
                <c:pt idx="0">
                  <c:v>0.81400000000000006</c:v>
                </c:pt>
                <c:pt idx="1">
                  <c:v>0.92700000000000005</c:v>
                </c:pt>
                <c:pt idx="2">
                  <c:v>0.92900000000000005</c:v>
                </c:pt>
                <c:pt idx="3">
                  <c:v>0.95299999999999996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dLbl>
              <c:idx val="0"/>
              <c:layout>
                <c:manualLayout>
                  <c:x val="4.375103456555663E-3"/>
                  <c:y val="-7.06666920151738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1875517282778268E-3"/>
                  <c:y val="-7.655558301643829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-6.477780101390932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-5.30035335689046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</c:strCache>
            </c:strRef>
          </c:cat>
          <c:val>
            <c:numRef>
              <c:f>Лист1!$C$2:$C$5</c:f>
              <c:numCache>
                <c:formatCode>0.0%</c:formatCode>
                <c:ptCount val="4"/>
                <c:pt idx="0">
                  <c:v>0.186</c:v>
                </c:pt>
                <c:pt idx="1">
                  <c:v>7.2999999999999995E-2</c:v>
                </c:pt>
                <c:pt idx="2">
                  <c:v>7.0999999999999994E-2</c:v>
                </c:pt>
                <c:pt idx="3">
                  <c:v>4.7E-2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437917568"/>
        <c:axId val="437919104"/>
      </c:barChart>
      <c:catAx>
        <c:axId val="437917568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437919104"/>
        <c:crosses val="autoZero"/>
        <c:auto val="1"/>
        <c:lblAlgn val="ctr"/>
        <c:lblOffset val="100"/>
        <c:noMultiLvlLbl val="0"/>
      </c:catAx>
      <c:valAx>
        <c:axId val="437919104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437917568"/>
        <c:crosses val="autoZero"/>
        <c:crossBetween val="between"/>
      </c:valAx>
    </c:plotArea>
    <c:legend>
      <c:legendPos val="t"/>
      <c:layout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5370</Words>
  <Characters>30610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Салдушева Анастасия Валерьевна</dc:creator>
  <cp:lastModifiedBy>Салдушева Анастасия Валерьевна</cp:lastModifiedBy>
  <cp:revision>1</cp:revision>
  <dcterms:created xsi:type="dcterms:W3CDTF">2025-06-26T03:23:00Z</dcterms:created>
  <dcterms:modified xsi:type="dcterms:W3CDTF">2025-06-26T03:25:00Z</dcterms:modified>
</cp:coreProperties>
</file>