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jc w:val="center"/>
        <w:rPr>
          <w:rFonts w:eastAsia="Calibri"/>
          <w:b/>
          <w:i/>
          <w:sz w:val="28"/>
          <w:szCs w:val="28"/>
          <w:lang w:eastAsia="en-US"/>
        </w:rPr>
      </w:pPr>
      <w:r>
        <w:rPr>
          <w:rFonts w:eastAsia="Calibri"/>
          <w:b/>
          <w:i/>
          <w:sz w:val="28"/>
          <w:szCs w:val="28"/>
          <w:lang w:eastAsia="en-US"/>
        </w:rPr>
        <w:t xml:space="preserve">   2024</w:t>
      </w:r>
      <w:r>
        <w:rPr>
          <w:rFonts w:eastAsia="Calibri"/>
          <w:b/>
          <w:i/>
          <w:sz w:val="28"/>
          <w:szCs w:val="28"/>
          <w:lang w:eastAsia="en-US"/>
        </w:rPr>
        <w:t xml:space="preserve">г № </w:t>
      </w:r>
    </w:p>
    <w:p w14:paraId="00000006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14:paraId="00000007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ИРКУТСКАЯ ОБЛАСТЬ</w:t>
      </w:r>
    </w:p>
    <w:p w14:paraId="0000000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СЛЮДЯНСКИЙ МУНИЦИПАЛЬНЫЙ РАЙОН</w:t>
      </w:r>
    </w:p>
    <w:p w14:paraId="00000009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АДМИНИСТРАЦИЯ </w:t>
      </w:r>
      <w:r>
        <w:rPr>
          <w:rFonts w:eastAsia="Calibri"/>
          <w:b/>
          <w:sz w:val="28"/>
          <w:szCs w:val="28"/>
          <w:lang w:eastAsia="en-US"/>
        </w:rPr>
        <w:t>ПОРТБАЙКАЛЬСКОГО</w:t>
      </w:r>
      <w:r>
        <w:rPr>
          <w:rFonts w:eastAsia="Calibri"/>
          <w:b/>
          <w:sz w:val="28"/>
          <w:szCs w:val="28"/>
          <w:lang w:eastAsia="en-US"/>
        </w:rPr>
        <w:t xml:space="preserve"> СЕЛЬСКОГО ПОСЕЛЕНИЯ</w:t>
      </w:r>
    </w:p>
    <w:p w14:paraId="0000000A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ПОСТАНОВЛЕНИЕ</w:t>
      </w:r>
    </w:p>
    <w:p w14:paraId="0000000B">
      <w:pPr>
        <w:rPr>
          <w:rFonts w:eastAsia="Calibri"/>
        </w:rPr>
      </w:pPr>
    </w:p>
    <w:p w14:paraId="0000000C">
      <w:pPr>
        <w:keepNext w:val="on"/>
        <w:keepLines w:val="on"/>
        <w:jc w:val="center"/>
        <w:rPr>
          <w:bCs/>
        </w:rPr>
      </w:pPr>
      <w:r>
        <w:rPr>
          <w:bCs/>
        </w:rPr>
        <w:t xml:space="preserve">Об утверждении </w:t>
      </w:r>
      <w:bookmarkStart w:id="0" w:name="_Hlk87274047"/>
      <w:r>
        <w:rPr>
          <w:bCs/>
        </w:rPr>
        <w:t>программы профилактики рисков</w:t>
      </w:r>
      <w:r>
        <w:rPr>
          <w:bCs/>
        </w:rPr>
        <w:t xml:space="preserve"> </w:t>
      </w:r>
      <w:r>
        <w:rPr>
          <w:bCs/>
        </w:rPr>
        <w:t xml:space="preserve">причинения вреда (ущерба) охраняемым законом ценностям при осуществлении </w:t>
      </w:r>
      <w:r>
        <w:rPr>
          <w:bCs/>
        </w:rPr>
        <w:t xml:space="preserve">муниципального </w:t>
      </w:r>
      <w:r>
        <w:rPr>
          <w:bCs/>
        </w:rPr>
        <w:t xml:space="preserve"> </w:t>
      </w:r>
      <w:r>
        <w:rPr>
          <w:bCs/>
        </w:rPr>
        <w:t>контроля</w:t>
      </w:r>
      <w:r>
        <w:rPr>
          <w:bCs/>
        </w:rPr>
        <w:t xml:space="preserve"> </w:t>
      </w:r>
      <w:r>
        <w:rPr>
          <w:bCs/>
        </w:rPr>
        <w:t>на автомобильном транспорте и в дорожном хозяйстве</w:t>
      </w:r>
      <w:r>
        <w:t xml:space="preserve"> </w:t>
      </w:r>
      <w:r>
        <w:t xml:space="preserve">на территории </w:t>
      </w:r>
      <w:r>
        <w:t>Портбайкальского</w:t>
      </w:r>
      <w:r>
        <w:t xml:space="preserve"> муниципального</w:t>
      </w:r>
      <w:r>
        <w:rPr>
          <w:bCs/>
        </w:rPr>
        <w:t xml:space="preserve"> </w:t>
      </w:r>
      <w:r>
        <w:t xml:space="preserve">образования </w:t>
      </w:r>
      <w:r>
        <w:rPr>
          <w:bCs/>
        </w:rPr>
        <w:t>на 2025</w:t>
      </w:r>
      <w:r>
        <w:rPr>
          <w:bCs/>
        </w:rPr>
        <w:t xml:space="preserve"> год</w:t>
      </w:r>
    </w:p>
    <w:p w14:paraId="0000000D">
      <w:pPr>
        <w:ind w:firstLine="720"/>
        <w:jc w:val="both"/>
        <w:rPr/>
      </w:pPr>
      <w:bookmarkEnd w:id="0"/>
    </w:p>
    <w:p w14:paraId="0000000E">
      <w:pPr>
        <w:tabs>
          <w:tab w:val="left" w:pos="4335"/>
          <w:tab w:val="center" w:pos="4729"/>
        </w:tabs>
        <w:ind w:firstLine="709"/>
        <w:jc w:val="both"/>
        <w:rPr/>
      </w:pPr>
      <w:r>
        <w:t>В соответствии</w:t>
      </w:r>
      <w:r>
        <w:t xml:space="preserve"> с</w:t>
      </w:r>
      <w:r>
        <w:t xml:space="preserve"> Федеральным законом от 31 июля 2020 года № 248-ФЗ «О государственном контроле (надзоре) и муниципальном контроле в Российской Федерации», </w:t>
      </w:r>
      <w:r>
        <w:t xml:space="preserve"> </w:t>
      </w:r>
      <w:r>
        <w:rPr>
          <w:rStyle w:val="Emphasis"/>
          <w:i w:val="off"/>
          <w:iCs w:val="off"/>
          <w:shd w:val="clear" w:color="auto" w:fill="ffffff"/>
        </w:rPr>
        <w:t>Постановлением</w:t>
      </w:r>
      <w:r>
        <w:rPr>
          <w:shd w:val="clear" w:color="auto" w:fill="ffffff"/>
        </w:rPr>
        <w:t> </w:t>
      </w:r>
      <w:r>
        <w:rPr>
          <w:rStyle w:val="Emphasis"/>
          <w:i w:val="off"/>
          <w:iCs w:val="off"/>
          <w:shd w:val="clear" w:color="auto" w:fill="ffffff"/>
        </w:rPr>
        <w:t>Правительства</w:t>
      </w:r>
      <w:r>
        <w:rPr>
          <w:shd w:val="clear" w:color="auto" w:fill="ffffff"/>
        </w:rPr>
        <w:t> Российской Федерации от 25 июня 2021 года №</w:t>
      </w:r>
      <w:r>
        <w:rPr>
          <w:rStyle w:val="Emphasis"/>
          <w:i w:val="off"/>
          <w:iCs w:val="off"/>
          <w:shd w:val="clear" w:color="auto" w:fill="ffffff"/>
        </w:rPr>
        <w:t>990 «</w:t>
      </w:r>
      <w:r>
        <w:rPr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t xml:space="preserve">, Решением Думы </w:t>
      </w:r>
      <w:r>
        <w:t>Портбайкальского</w:t>
      </w:r>
      <w:r>
        <w:t xml:space="preserve"> сельского поселения от 25</w:t>
      </w:r>
      <w:r>
        <w:t xml:space="preserve"> ноября 2021 года №</w:t>
      </w:r>
      <w:r>
        <w:t xml:space="preserve"> 25-д</w:t>
      </w:r>
      <w:r>
        <w:t xml:space="preserve"> «Об утверждении Положения </w:t>
      </w:r>
      <w:r>
        <w:rPr>
          <w:bCs/>
        </w:rPr>
        <w:t>о муниципальном контроле на автомобильном транспорте и в дорожном хозяйстве в границах населенных пунктов</w:t>
      </w:r>
      <w:r>
        <w:rPr>
          <w:bCs/>
        </w:rPr>
        <w:t xml:space="preserve"> </w:t>
      </w:r>
      <w:r>
        <w:rPr>
          <w:bCs/>
        </w:rPr>
        <w:t>Портбайкальского</w:t>
      </w:r>
      <w:r>
        <w:rPr>
          <w:bCs/>
        </w:rPr>
        <w:t xml:space="preserve"> муниципального образования</w:t>
      </w:r>
      <w:r>
        <w:rPr>
          <w:bCs/>
        </w:rPr>
        <w:t>»</w:t>
      </w:r>
      <w:r>
        <w:t xml:space="preserve">, </w:t>
      </w:r>
      <w:r>
        <w:t>руководствуясь</w:t>
      </w:r>
      <w:r>
        <w:t xml:space="preserve"> </w:t>
      </w:r>
      <w:r>
        <w:t>Устав</w:t>
      </w:r>
      <w:r>
        <w:t>ом</w:t>
      </w:r>
      <w:r>
        <w:t xml:space="preserve"> </w:t>
      </w:r>
      <w:r>
        <w:t>Портбайкальского</w:t>
      </w:r>
      <w:r>
        <w:t xml:space="preserve"> муниципального образования, администрация </w:t>
      </w:r>
      <w:r>
        <w:t>Портбайкальского</w:t>
      </w:r>
      <w:r>
        <w:t xml:space="preserve"> сельского поселения</w:t>
      </w:r>
    </w:p>
    <w:p w14:paraId="0000000F">
      <w:pPr>
        <w:jc w:val="both"/>
        <w:rPr/>
      </w:pPr>
    </w:p>
    <w:p w14:paraId="000000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14:paraId="00000011">
      <w:pPr>
        <w:jc w:val="both"/>
        <w:rPr/>
      </w:pPr>
    </w:p>
    <w:p w14:paraId="00000012">
      <w:pPr>
        <w:ind w:firstLine="709"/>
        <w:jc w:val="both"/>
        <w:rPr>
          <w:bCs/>
        </w:rPr>
      </w:pPr>
      <w:r>
        <w:t xml:space="preserve">1. </w:t>
      </w:r>
      <w:r>
        <w:t xml:space="preserve">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</w:t>
      </w:r>
      <w:r>
        <w:rPr>
          <w:bCs/>
        </w:rPr>
        <w:t>на автомобильном транспорте и в дорожном хозяйстве</w:t>
      </w:r>
      <w:r>
        <w:t xml:space="preserve"> </w:t>
      </w:r>
      <w:r>
        <w:t xml:space="preserve">на территории </w:t>
      </w:r>
      <w:r>
        <w:t>Портбайкальского</w:t>
      </w:r>
      <w:r>
        <w:t xml:space="preserve"> муниципального</w:t>
      </w:r>
      <w:r>
        <w:t xml:space="preserve"> </w:t>
      </w:r>
      <w:r>
        <w:t xml:space="preserve">образования </w:t>
      </w:r>
      <w:r>
        <w:t xml:space="preserve">на </w:t>
      </w:r>
      <w:r>
        <w:t>2025</w:t>
      </w:r>
      <w:r>
        <w:t xml:space="preserve"> год.</w:t>
      </w:r>
    </w:p>
    <w:p w14:paraId="00000013">
      <w:pPr>
        <w:ind w:firstLine="709"/>
        <w:jc w:val="both"/>
        <w:rPr>
          <w:rFonts w:eastAsia="Calibri"/>
          <w:u w:val="single"/>
          <w:lang w:eastAsia="en-US"/>
        </w:rPr>
      </w:pPr>
      <w:r>
        <w:rPr>
          <w:rFonts w:eastAsia="Calibri"/>
          <w:color w:val="000000"/>
          <w:lang w:eastAsia="en-US"/>
        </w:rPr>
        <w:t xml:space="preserve">2. </w:t>
      </w:r>
      <w:r>
        <w:rPr>
          <w:rFonts w:eastAsia="Calibri"/>
          <w:lang w:eastAsia="en-US"/>
        </w:rPr>
        <w:t>Опубликовать настоящее постановление в печатном издании «</w:t>
      </w:r>
      <w:r>
        <w:rPr>
          <w:rFonts w:eastAsia="Calibri"/>
          <w:lang w:eastAsia="en-US"/>
        </w:rPr>
        <w:t>Портбайкальские вести</w:t>
      </w:r>
      <w:r>
        <w:rPr>
          <w:rFonts w:eastAsia="Calibri"/>
          <w:lang w:eastAsia="en-US"/>
        </w:rPr>
        <w:t xml:space="preserve">», разместить на официальном сайте </w:t>
      </w:r>
      <w:r>
        <w:rPr>
          <w:rFonts w:eastAsia="Calibri"/>
          <w:u w:val="single"/>
          <w:lang w:eastAsia="en-US"/>
        </w:rPr>
        <w:t>Слюдянского муниципального района в сети «Интернет».</w:t>
      </w:r>
    </w:p>
    <w:p w14:paraId="00000014">
      <w:pPr>
        <w:ind w:firstLine="709"/>
        <w:jc w:val="both"/>
        <w:rPr>
          <w:rFonts w:eastAsia="Calibri"/>
          <w:u w:val="single"/>
          <w:lang w:eastAsia="en-US"/>
        </w:rPr>
      </w:pPr>
      <w:r>
        <w:rPr>
          <w:rFonts w:eastAsia="Calibri"/>
          <w:lang w:eastAsia="en-US"/>
        </w:rPr>
        <w:t xml:space="preserve">3. </w:t>
      </w:r>
      <w:r>
        <w:t xml:space="preserve">Настоящее </w:t>
      </w:r>
      <w:r>
        <w:t xml:space="preserve">постановление </w:t>
      </w:r>
      <w:r>
        <w:t>вступает в силу с 1 января 2025</w:t>
      </w:r>
      <w:r>
        <w:t xml:space="preserve"> года.</w:t>
      </w:r>
    </w:p>
    <w:p w14:paraId="00000015">
      <w:pPr>
        <w:ind w:firstLine="709"/>
        <w:jc w:val="both"/>
        <w:rPr/>
      </w:pPr>
      <w:r>
        <w:rPr>
          <w:rFonts w:eastAsia="Calibri"/>
          <w:lang w:eastAsia="en-US"/>
        </w:rPr>
        <w:t>4</w:t>
      </w:r>
      <w:r>
        <w:rPr>
          <w:rFonts w:eastAsia="Calibri"/>
          <w:lang w:eastAsia="en-US"/>
        </w:rPr>
        <w:t xml:space="preserve">. </w:t>
      </w:r>
      <w:r>
        <w:t>Контроль за исполнением настоящего постановления оставляю за собой.</w:t>
      </w:r>
    </w:p>
    <w:p w14:paraId="00000016">
      <w:pPr>
        <w:ind w:firstLine="720"/>
        <w:jc w:val="both"/>
        <w:rPr>
          <w:rFonts w:eastAsia="Calibri"/>
          <w:b/>
          <w:lang w:eastAsia="en-US"/>
        </w:rPr>
      </w:pPr>
    </w:p>
    <w:p w14:paraId="00000017">
      <w:pPr>
        <w:ind w:firstLine="720"/>
        <w:jc w:val="both"/>
        <w:rPr>
          <w:rFonts w:eastAsia="Calibri"/>
          <w:b/>
          <w:lang w:eastAsia="en-US"/>
        </w:rPr>
      </w:pPr>
    </w:p>
    <w:p w14:paraId="00000018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Глава </w:t>
      </w:r>
      <w:r>
        <w:rPr>
          <w:rFonts w:eastAsia="Calibri"/>
          <w:lang w:eastAsia="en-US"/>
        </w:rPr>
        <w:t>Портбайкальского</w:t>
      </w:r>
      <w:r>
        <w:rPr>
          <w:rFonts w:eastAsia="Calibri"/>
          <w:lang w:eastAsia="en-US"/>
        </w:rPr>
        <w:t xml:space="preserve"> </w:t>
      </w:r>
    </w:p>
    <w:p w14:paraId="00000019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муниципального образования                                           </w:t>
      </w:r>
      <w:r>
        <w:rPr>
          <w:rFonts w:eastAsia="Calibri"/>
          <w:lang w:eastAsia="en-US"/>
        </w:rPr>
        <w:t xml:space="preserve">                  Н.И. Симакова</w:t>
      </w:r>
    </w:p>
    <w:p w14:paraId="0000001A">
      <w:pPr>
        <w:ind w:firstLine="709"/>
        <w:jc w:val="both"/>
        <w:rPr/>
        <w:sectPr>
          <w:pgSz w:w="11906" w:h="16838"/>
          <w:pgMar w:top="1134" w:right="850" w:bottom="1134" w:left="1701" w:header="709" w:footer="709" w:gutter="0"/>
          <w:cols w:space="708"/>
        </w:sectPr>
      </w:pPr>
      <w:r>
        <w:t>
</w:t>
      </w:r>
    </w:p>
    <w:p w14:paraId="0000001B">
      <w:pPr>
        <w:ind w:left="5670"/>
        <w:jc w:val="right"/>
        <w:rPr/>
      </w:pPr>
      <w:r>
        <w:t>УТВЕРЖДЕНО</w:t>
      </w:r>
    </w:p>
    <w:p w14:paraId="0000001C">
      <w:pPr>
        <w:ind w:left="5670"/>
        <w:jc w:val="right"/>
        <w:rPr/>
      </w:pPr>
      <w:r>
        <w:t>постановлением администрации</w:t>
      </w:r>
    </w:p>
    <w:p w14:paraId="0000001D">
      <w:pPr>
        <w:jc w:val="right"/>
        <w:rPr/>
      </w:pPr>
      <w:r>
        <w:t>Портбайкальского</w:t>
      </w:r>
      <w:r>
        <w:t xml:space="preserve"> сельского поселения </w:t>
      </w:r>
    </w:p>
    <w:p w14:paraId="0000001E">
      <w:pPr>
        <w:ind w:left="5670"/>
        <w:jc w:val="right"/>
        <w:rPr/>
      </w:pPr>
      <w:r>
        <w:t>2024</w:t>
      </w:r>
      <w:r>
        <w:t xml:space="preserve"> </w:t>
      </w:r>
      <w:r>
        <w:t>г. №</w:t>
      </w:r>
      <w:r>
        <w:t xml:space="preserve"> </w:t>
      </w:r>
      <w:r>
        <w:t xml:space="preserve">   </w:t>
      </w:r>
    </w:p>
    <w:p w14:paraId="0000001F"/>
    <w:p w14:paraId="00000020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Программа </w:t>
      </w:r>
    </w:p>
    <w:p w14:paraId="00000021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профилактики рисков причинения вреда (ущерба)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охраняемым законом </w:t>
      </w:r>
    </w:p>
    <w:p w14:paraId="00000022">
      <w:pPr>
        <w:jc w:val="center"/>
        <w:rPr>
          <w:b/>
        </w:rPr>
      </w:pPr>
      <w:r>
        <w:rPr>
          <w:rFonts w:eastAsia="Calibri"/>
          <w:b/>
          <w:lang w:eastAsia="en-US"/>
        </w:rPr>
        <w:t xml:space="preserve">ценностям при осуществлении муниципального контроля </w:t>
      </w:r>
      <w:r>
        <w:rPr>
          <w:rFonts w:eastAsia="Calibri"/>
          <w:b/>
          <w:lang w:eastAsia="en-US"/>
        </w:rPr>
        <w:t xml:space="preserve">на автомобильном транспорте и в дорожном хозяйстве </w:t>
      </w:r>
      <w:r>
        <w:rPr>
          <w:rFonts w:eastAsia="Calibri"/>
          <w:b/>
          <w:lang w:eastAsia="en-US"/>
        </w:rPr>
        <w:t>на</w:t>
      </w:r>
      <w:r>
        <w:t xml:space="preserve"> </w:t>
      </w:r>
      <w:r>
        <w:rPr>
          <w:b/>
        </w:rPr>
        <w:t xml:space="preserve">территории </w:t>
      </w:r>
      <w:r>
        <w:rPr>
          <w:b/>
        </w:rPr>
        <w:t>Портбайкальского</w:t>
      </w:r>
      <w:r>
        <w:rPr>
          <w:b/>
        </w:rPr>
        <w:t xml:space="preserve"> </w:t>
      </w:r>
    </w:p>
    <w:p w14:paraId="00000023">
      <w:pPr>
        <w:jc w:val="center"/>
        <w:rPr>
          <w:rFonts w:eastAsia="Calibri"/>
          <w:b/>
          <w:lang w:eastAsia="en-US"/>
        </w:rPr>
      </w:pPr>
      <w:r>
        <w:rPr>
          <w:b/>
        </w:rPr>
        <w:t>муниципального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образования на </w:t>
      </w:r>
      <w:r>
        <w:rPr>
          <w:rFonts w:eastAsia="Calibri"/>
          <w:b/>
          <w:lang w:eastAsia="en-US"/>
        </w:rPr>
        <w:t>2025</w:t>
      </w:r>
      <w:r>
        <w:rPr>
          <w:rFonts w:eastAsia="Calibri"/>
          <w:b/>
          <w:lang w:eastAsia="en-US"/>
        </w:rPr>
        <w:t xml:space="preserve"> год </w:t>
      </w:r>
    </w:p>
    <w:p w14:paraId="00000024">
      <w:pPr>
        <w:jc w:val="center"/>
        <w:rPr>
          <w:rFonts w:eastAsia="Calibri"/>
          <w:b/>
          <w:lang w:eastAsia="en-US"/>
        </w:rPr>
      </w:pPr>
    </w:p>
    <w:p w14:paraId="00000025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Раздел 1. Анализ текущего состояния осуществления муниципального контроля </w:t>
      </w:r>
      <w:r>
        <w:rPr>
          <w:rFonts w:eastAsia="Calibri"/>
          <w:lang w:eastAsia="en-US"/>
        </w:rPr>
        <w:br w:type="textWrapping"/>
      </w:r>
      <w:r>
        <w:rPr>
          <w:bCs/>
        </w:rPr>
        <w:t>на автомобильном транспорте и в дорожном хозяйстве</w:t>
      </w:r>
      <w:r>
        <w:rPr>
          <w:rFonts w:eastAsia="Calibri"/>
          <w:lang w:eastAsia="en-US"/>
        </w:rPr>
        <w:t>,  описание текущего развития профилактической деятельности, характеристика проблем, на решение которых направлена программа профилактики</w:t>
      </w:r>
    </w:p>
    <w:p w14:paraId="00000026">
      <w:pPr>
        <w:jc w:val="center"/>
        <w:rPr>
          <w:rFonts w:eastAsia="Calibri"/>
          <w:lang w:eastAsia="en-US"/>
        </w:rPr>
      </w:pPr>
    </w:p>
    <w:p w14:paraId="00000027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1.1. Программа профилактики рисков причинения вреда (ущерба) охраняемым законом ценностям при осуществлении муниципального контроля</w:t>
      </w:r>
      <w:r>
        <w:rPr>
          <w:rFonts w:eastAsia="Calibri"/>
          <w:lang w:eastAsia="en-US"/>
        </w:rPr>
        <w:t xml:space="preserve"> в сфере благоустройства на 2025</w:t>
      </w:r>
      <w:r>
        <w:rPr>
          <w:rFonts w:eastAsia="Calibri"/>
          <w:lang w:eastAsia="en-US"/>
        </w:rPr>
        <w:t xml:space="preserve"> год (далее – Программа профилактики) разработана в целях реализации положений Федерального закона от 31.07.2020 №248-ФЗ «О государственном контроле (надзоре) и муниципальном контроле в Российской Федерации» (далее – Федеральный закон от 31.07.2020 №248-ФЗ), в соответствии с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25.06.2021 №990. </w:t>
      </w:r>
    </w:p>
    <w:p w14:paraId="00000028">
      <w:pPr>
        <w:tabs>
          <w:tab w:val="left" w:pos="1134"/>
        </w:tabs>
        <w:ind w:firstLine="709"/>
        <w:contextualSpacing w:val="on"/>
        <w:jc w:val="both"/>
        <w:rPr/>
      </w:pPr>
      <w:r>
        <w:t>Понятия, применяемые в Программе профилактики, используются в значениях, указанных в Федеральном законе от 31.07.2020 №248-ФЗ.</w:t>
      </w:r>
    </w:p>
    <w:p w14:paraId="00000029">
      <w:pPr>
        <w:pStyle w:val="ConsPlusNormal"/>
        <w:ind w:firstLine="709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en-US"/>
        </w:rPr>
        <w:t xml:space="preserve">1.2. Предметом муниципального контроля </w:t>
      </w:r>
      <w:r>
        <w:rPr>
          <w:sz w:val="24"/>
          <w:szCs w:val="24"/>
        </w:rPr>
        <w:t xml:space="preserve">на территории </w:t>
      </w:r>
      <w:r>
        <w:rPr>
          <w:sz w:val="24"/>
          <w:szCs w:val="24"/>
        </w:rPr>
        <w:t>Портбайкальского</w:t>
      </w:r>
      <w:r>
        <w:rPr>
          <w:sz w:val="24"/>
          <w:szCs w:val="24"/>
        </w:rPr>
        <w:t xml:space="preserve"> муниципального образования является соблюдение обязательных требований:</w:t>
      </w:r>
    </w:p>
    <w:p w14:paraId="0000002A">
      <w:pPr>
        <w:tabs>
          <w:tab w:val="left" w:pos="-5387"/>
        </w:tabs>
        <w:ind w:firstLine="709"/>
        <w:jc w:val="both"/>
        <w:rPr/>
      </w:pPr>
      <w:r>
        <w:t>1) в области автомобильных дорог и дорожной деятельности, установленных в отношении автомобильных дорог местного значения:</w:t>
      </w:r>
    </w:p>
    <w:p w14:paraId="0000002B">
      <w:pPr>
        <w:tabs>
          <w:tab w:val="left" w:pos="-5387"/>
        </w:tabs>
        <w:ind w:firstLine="709"/>
        <w:jc w:val="both"/>
        <w:rPr/>
      </w:pPr>
      <w: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0000002C">
      <w:pPr>
        <w:tabs>
          <w:tab w:val="left" w:pos="-5387"/>
        </w:tabs>
        <w:ind w:firstLine="709"/>
        <w:jc w:val="both"/>
        <w:rPr/>
      </w:pPr>
      <w: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000002D">
      <w:pPr>
        <w:tabs>
          <w:tab w:val="left" w:pos="-5387"/>
        </w:tabs>
        <w:ind w:firstLine="709"/>
        <w:jc w:val="both"/>
        <w:rPr/>
      </w:pPr>
      <w: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14:paraId="0000002E">
      <w:pPr>
        <w:tabs>
          <w:tab w:val="left" w:pos="-5387"/>
        </w:tabs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lang w:eastAsia="en-US"/>
        </w:rPr>
        <w:t xml:space="preserve">1.3. Контролируемыми лицами являются </w:t>
      </w:r>
      <w:r>
        <w:rPr>
          <w:rFonts w:eastAsia="Calibri"/>
          <w:lang w:eastAsia="en-US"/>
        </w:rPr>
        <w:t xml:space="preserve">юридические лица, индивидуальные предприниматели и физические лица, осуществляющие деятельность </w:t>
      </w:r>
      <w:r>
        <w:rPr>
          <w:rFonts w:eastAsia="Calibri"/>
          <w:bCs/>
          <w:lang w:eastAsia="en-US"/>
        </w:rPr>
        <w:t>в области автомобильных дорог и дорожной деятельности, установленных в отношении автомобильных дорог местного значения, в том числе  в области перевозок по муниципальным маршрутам регулярных перевозок.</w:t>
      </w:r>
    </w:p>
    <w:p w14:paraId="0000002F">
      <w:pPr>
        <w:tabs>
          <w:tab w:val="left" w:pos="-5387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bCs/>
          <w:lang w:eastAsia="en-US"/>
        </w:rPr>
        <w:t xml:space="preserve">1.4. </w:t>
      </w:r>
      <w:r>
        <w:rPr>
          <w:rFonts w:eastAsia="Calibri"/>
          <w:lang w:eastAsia="en-US"/>
        </w:rPr>
        <w:t>Общая протяженность автомобильных дорог муницип</w:t>
      </w:r>
      <w:r>
        <w:rPr>
          <w:rFonts w:eastAsia="Calibri"/>
          <w:lang w:eastAsia="en-US"/>
        </w:rPr>
        <w:t>ального значения составляет 24</w:t>
      </w:r>
      <w:r>
        <w:rPr>
          <w:rFonts w:eastAsia="Calibri"/>
          <w:lang w:eastAsia="en-US"/>
        </w:rPr>
        <w:t xml:space="preserve"> км, в том числе: </w:t>
      </w:r>
    </w:p>
    <w:p w14:paraId="00000030">
      <w:pPr>
        <w:tabs>
          <w:tab w:val="left" w:pos="-5387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- с асфальтобетонным покрытием 0,</w:t>
      </w:r>
      <w:r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>0</w:t>
      </w:r>
      <w:r>
        <w:rPr>
          <w:rFonts w:eastAsia="Calibri"/>
          <w:lang w:eastAsia="en-US"/>
        </w:rPr>
        <w:t xml:space="preserve"> км;</w:t>
      </w:r>
    </w:p>
    <w:p w14:paraId="00000031">
      <w:pPr>
        <w:tabs>
          <w:tab w:val="left" w:pos="-5387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с гравийным покрытием 24</w:t>
      </w:r>
      <w:r>
        <w:rPr>
          <w:rFonts w:eastAsia="Calibri"/>
          <w:lang w:eastAsia="en-US"/>
        </w:rPr>
        <w:t xml:space="preserve"> км.</w:t>
      </w:r>
    </w:p>
    <w:p w14:paraId="00000032">
      <w:pPr>
        <w:tabs>
          <w:tab w:val="left" w:pos="-5387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</w:t>
      </w:r>
      <w:r>
        <w:rPr>
          <w:rFonts w:eastAsia="Calibri"/>
          <w:lang w:eastAsia="en-US"/>
        </w:rPr>
        <w:t>5</w:t>
      </w:r>
      <w:r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Характеристика проблем, на решение которых направлена программа профилактики:</w:t>
      </w:r>
    </w:p>
    <w:p w14:paraId="00000033">
      <w:pPr>
        <w:tabs>
          <w:tab w:val="left" w:pos="-142"/>
        </w:tabs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к основным проблемам в сфере дорожного хозяйства является несоответствие нормативным требованиям 100 % 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автомобильных дорог, из них подлежат (по результатам диагностики):</w:t>
      </w:r>
    </w:p>
    <w:p w14:paraId="00000034">
      <w:pPr>
        <w:tabs>
          <w:tab w:val="left" w:pos="-142"/>
        </w:tabs>
        <w:ind w:right="-1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ремонту </w:t>
      </w:r>
      <w:r>
        <w:rPr>
          <w:rFonts w:eastAsia="Calibri"/>
          <w:lang w:eastAsia="en-US"/>
        </w:rPr>
        <w:t>24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км;</w:t>
      </w:r>
    </w:p>
    <w:p w14:paraId="00000035">
      <w:pPr>
        <w:tabs>
          <w:tab w:val="left" w:pos="-142"/>
        </w:tabs>
        <w:ind w:right="-1" w:firstLine="709"/>
        <w:jc w:val="both"/>
        <w:rPr>
          <w:bCs/>
          <w:color w:val="000000"/>
          <w:lang w:eastAsia="en-US"/>
        </w:rPr>
      </w:pPr>
      <w:r>
        <w:rPr>
          <w:bCs/>
          <w:lang w:eastAsia="en-US"/>
        </w:rPr>
        <w:t>В 202</w:t>
      </w:r>
      <w:r>
        <w:rPr>
          <w:bCs/>
          <w:lang w:eastAsia="en-US"/>
        </w:rPr>
        <w:t>3</w:t>
      </w:r>
      <w:r>
        <w:rPr>
          <w:bCs/>
          <w:lang w:eastAsia="en-US"/>
        </w:rPr>
        <w:t xml:space="preserve"> году в рамках муниципального контроля по результатам контрольных мероприятий нарушений обязательных требований, </w:t>
      </w:r>
      <w:r>
        <w:rPr>
          <w:bCs/>
          <w:color w:val="000000"/>
          <w:lang w:eastAsia="en-US"/>
        </w:rPr>
        <w:t>рисков причинения вреда охраняемым законом ценностям и причиненного автомобильным дорогам ущерба, не выявлено.</w:t>
      </w:r>
    </w:p>
    <w:p w14:paraId="00000036">
      <w:pPr>
        <w:widowControl w:val="off"/>
        <w:ind w:firstLine="709"/>
        <w:contextualSpacing w:val="on"/>
        <w:jc w:val="both"/>
        <w:rPr/>
      </w:pPr>
    </w:p>
    <w:p w14:paraId="00000037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2. Цели и задачи реализации Программы профилактики</w:t>
      </w:r>
    </w:p>
    <w:p w14:paraId="00000038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</w:r>
    </w:p>
    <w:p w14:paraId="00000039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профилактики направлена на достижение основных целей:</w:t>
      </w:r>
    </w:p>
    <w:p w14:paraId="0000003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 стимулирование добросовестного соблюдения обязательных требований всеми контролируемыми лицами;</w:t>
      </w:r>
    </w:p>
    <w:p w14:paraId="0000003B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000003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000003D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Достижение поставленных целей осуществляется за счет решения следующих задач:</w:t>
      </w:r>
    </w:p>
    <w:p w14:paraId="0000003E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0000003F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– формирование единого понимания контролируемыми лицами и органом, осуществляющим муниципальный контроль, обязательных требований</w:t>
      </w:r>
      <w:r>
        <w:rPr>
          <w:rFonts w:eastAsia="Calibri"/>
          <w:lang w:eastAsia="en-US"/>
        </w:rPr>
        <w:t xml:space="preserve">; </w:t>
      </w:r>
    </w:p>
    <w:p w14:paraId="00000040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>
        <w:rPr>
          <w:rFonts w:eastAsia="Calibri"/>
          <w:lang w:eastAsia="en-US"/>
        </w:rPr>
        <w:t>повышение правосознания и правовой культуры контролируемых лиц</w:t>
      </w:r>
      <w:r>
        <w:rPr>
          <w:rFonts w:eastAsia="Calibri"/>
          <w:lang w:eastAsia="en-US"/>
        </w:rPr>
        <w:t>;</w:t>
      </w:r>
    </w:p>
    <w:p w14:paraId="00000041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обеспечение доступности информации об обязательных требованиях и необходимых мерах по их исполнению.</w:t>
      </w:r>
    </w:p>
    <w:p w14:paraId="00000042">
      <w:pPr>
        <w:widowControl w:val="off"/>
        <w:ind w:firstLine="709"/>
        <w:jc w:val="both"/>
        <w:rPr/>
      </w:pPr>
      <w:r>
        <w:t>Цели и задачи Программы профилактики направлены на минимизацию рисков причинения вреда (ущерба) охраняемым законом ценностям.</w:t>
      </w:r>
    </w:p>
    <w:p w14:paraId="00000043">
      <w:pPr>
        <w:ind w:firstLine="709"/>
        <w:jc w:val="both"/>
        <w:rPr>
          <w:rFonts w:eastAsia="Calibri"/>
          <w:lang w:eastAsia="en-US"/>
        </w:rPr>
      </w:pPr>
    </w:p>
    <w:p w14:paraId="00000044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3. Перечень профилактических мероприятий, сроки (периодичность</w:t>
      </w:r>
      <w:r>
        <w:rPr>
          <w:rFonts w:eastAsia="Calibri"/>
          <w:lang w:eastAsia="en-US"/>
        </w:rPr>
        <w:t xml:space="preserve">) </w:t>
      </w:r>
    </w:p>
    <w:p w14:paraId="00000045">
      <w:pPr>
        <w:jc w:val="center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их проведения</w:t>
      </w:r>
    </w:p>
    <w:p w14:paraId="00000046">
      <w:pPr>
        <w:jc w:val="center"/>
        <w:rPr>
          <w:rFonts w:eastAsia="Calibri"/>
          <w:lang w:eastAsia="en-US"/>
        </w:rPr>
      </w:pPr>
    </w:p>
    <w:p w14:paraId="00000047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ab/>
        <w:t>Реализация поставленных целей и задач осуществляется посредством проведения следующих профилактических мероприятий:</w:t>
      </w:r>
    </w:p>
    <w:p w14:paraId="00000048">
      <w:pPr>
        <w:ind w:firstLine="709"/>
        <w:jc w:val="both"/>
        <w:rPr>
          <w:lang w:eastAsia="zh-CN"/>
        </w:rPr>
      </w:pPr>
      <w:r>
        <w:rPr>
          <w:lang w:eastAsia="zh-CN"/>
        </w:rPr>
        <w:t>1) информирование;</w:t>
      </w:r>
    </w:p>
    <w:p w14:paraId="00000049">
      <w:pPr>
        <w:ind w:firstLine="709"/>
        <w:jc w:val="both"/>
        <w:rPr>
          <w:lang w:eastAsia="zh-CN"/>
        </w:rPr>
      </w:pPr>
      <w:r>
        <w:rPr>
          <w:lang w:eastAsia="zh-CN"/>
        </w:rPr>
        <w:t>2) консультирование;</w:t>
      </w:r>
    </w:p>
    <w:p w14:paraId="0000004A">
      <w:pPr>
        <w:ind w:firstLine="709"/>
        <w:jc w:val="both"/>
        <w:rPr>
          <w:rFonts w:eastAsia="Calibri"/>
          <w:lang w:eastAsia="en-US"/>
        </w:rPr>
      </w:pPr>
      <w:r>
        <w:rPr>
          <w:lang w:eastAsia="zh-CN"/>
        </w:rPr>
        <w:t>3) профилактический визит</w:t>
      </w:r>
      <w:r>
        <w:rPr>
          <w:rFonts w:eastAsia="Calibri"/>
          <w:lang w:eastAsia="en-US"/>
        </w:rPr>
        <w:t>.</w:t>
      </w:r>
    </w:p>
    <w:p w14:paraId="0000004B">
      <w:pPr>
        <w:jc w:val="center"/>
        <w:rPr>
          <w:rFonts w:eastAsia="Calibri"/>
          <w:lang w:eastAsia="en-US"/>
        </w:rPr>
      </w:pPr>
    </w:p>
    <w:p w14:paraId="0000004C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План проведения профилактических мероприятий</w:t>
      </w:r>
    </w:p>
    <w:p w14:paraId="0000004D">
      <w:pPr>
        <w:jc w:val="center"/>
        <w:rPr>
          <w:rFonts w:eastAsia="Calibri"/>
          <w:lang w:eastAsia="en-US"/>
        </w:rPr>
      </w:pPr>
    </w:p>
    <w:tbl>
      <w:tblPr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/>
      </w:tblPr>
      <w:tblGrid>
        <w:gridCol w:w="709"/>
        <w:gridCol w:w="4253"/>
        <w:gridCol w:w="1417"/>
        <w:gridCol w:w="1985"/>
        <w:gridCol w:w="1275"/>
      </w:tblGrid>
      <w:tr>
        <w:trPr/>
        <w:tc>
          <w:tcPr>
            <w:cnfStyle w:val="101000000000"/>
            <w:tcW w:w="709" w:type="dxa"/>
            <w:shd w:val="clear" w:color="auto" w:fill="auto"/>
          </w:tcPr>
          <w:p w14:paraId="0000004E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№</w:t>
            </w:r>
          </w:p>
          <w:p w14:paraId="0000004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п/п</w:t>
            </w:r>
          </w:p>
        </w:tc>
        <w:tc>
          <w:tcPr>
            <w:cnfStyle w:val="100000000000"/>
            <w:tcW w:w="4253" w:type="dxa"/>
            <w:shd w:val="clear" w:color="auto" w:fill="auto"/>
          </w:tcPr>
          <w:p w14:paraId="0000005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cnfStyle w:val="100000000000"/>
            <w:tcW w:w="1417" w:type="dxa"/>
            <w:shd w:val="clear" w:color="auto" w:fill="auto"/>
          </w:tcPr>
          <w:p w14:paraId="00000051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Срок (периодичность) проведения</w:t>
            </w:r>
          </w:p>
        </w:tc>
        <w:tc>
          <w:tcPr>
            <w:cnfStyle w:val="100000000000"/>
            <w:tcW w:w="1985" w:type="dxa"/>
          </w:tcPr>
          <w:p w14:paraId="00000052">
            <w:pPr>
              <w:jc w:val="center"/>
              <w:rPr>
                <w:rFonts w:eastAsia="Calibri"/>
                <w:lang w:eastAsia="en-US"/>
              </w:rPr>
            </w:pPr>
            <w:r>
              <w:t>Ожидаемые результаты проведения мероприятий</w:t>
            </w:r>
          </w:p>
        </w:tc>
        <w:tc>
          <w:tcPr>
            <w:cnfStyle w:val="100000000000"/>
            <w:tcW w:w="1275" w:type="dxa"/>
            <w:shd w:val="clear" w:color="auto" w:fill="auto"/>
          </w:tcPr>
          <w:p w14:paraId="00000053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Должностные лица, ответственные за реализацию </w:t>
            </w:r>
          </w:p>
        </w:tc>
      </w:tr>
      <w:tr>
        <w:trPr/>
        <w:tc>
          <w:tcPr>
            <w:cnfStyle w:val="001000100000"/>
            <w:tcW w:w="709" w:type="dxa"/>
            <w:shd w:val="clear" w:color="auto" w:fill="auto"/>
          </w:tcPr>
          <w:p w14:paraId="00000054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cnfStyle w:val="000000100000"/>
            <w:tcW w:w="4253" w:type="dxa"/>
            <w:shd w:val="clear" w:color="auto" w:fill="auto"/>
          </w:tcPr>
          <w:p w14:paraId="0000005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поселения и поддержание в актуальном состоянии текстов </w:t>
            </w:r>
            <w:r>
              <w:rPr>
                <w:rFonts w:eastAsia="Calibri"/>
                <w:lang w:eastAsia="en-US"/>
              </w:rPr>
              <w:t xml:space="preserve">нормативных правовых актов, регулирующих осуществление муниципального контроля </w:t>
            </w:r>
            <w:r>
              <w:rPr>
                <w:rFonts w:eastAsia="Calibri"/>
                <w:lang w:eastAsia="en-US"/>
              </w:rPr>
              <w:t>на автомобильном транспорте и дорожном хозяйстве</w:t>
            </w:r>
            <w:r>
              <w:rPr>
                <w:rFonts w:eastAsia="Calibri"/>
                <w:lang w:eastAsia="en-US"/>
              </w:rPr>
              <w:t xml:space="preserve"> (далее – контроль); перечня нормативных правовых актов с указанием структурных единиц, содержащих обязательные требования; информации о мерах ответственности, применяемых при нарушении обязательных требований</w:t>
            </w:r>
          </w:p>
        </w:tc>
        <w:tc>
          <w:tcPr>
            <w:cnfStyle w:val="000000100000"/>
            <w:tcW w:w="1417" w:type="dxa"/>
            <w:shd w:val="clear" w:color="auto" w:fill="auto"/>
          </w:tcPr>
          <w:p w14:paraId="0000005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в течение года </w:t>
            </w:r>
          </w:p>
          <w:p w14:paraId="00000057">
            <w:pPr>
              <w:jc w:val="center"/>
              <w:rPr>
                <w:rFonts w:eastAsia="Calibri"/>
                <w:i/>
                <w:color w:val="ff0000"/>
                <w:lang w:eastAsia="en-US"/>
              </w:rPr>
            </w:pPr>
          </w:p>
        </w:tc>
        <w:tc>
          <w:tcPr>
            <w:cnfStyle w:val="000000100000"/>
            <w:tcW w:w="1985" w:type="dxa"/>
          </w:tcPr>
          <w:p w14:paraId="00000058">
            <w:pPr>
              <w:rPr>
                <w:rFonts w:eastAsia="Calibri"/>
              </w:rPr>
            </w:pPr>
            <w:r>
              <w:t xml:space="preserve">Повышение информированности подконтрольных </w:t>
            </w:r>
            <w:r>
              <w:t xml:space="preserve">субъектов </w:t>
            </w:r>
          </w:p>
          <w:p w14:paraId="00000059">
            <w:pPr>
              <w:rPr>
                <w:rFonts w:eastAsia="Calibri"/>
                <w:lang w:eastAsia="en-US"/>
              </w:rPr>
            </w:pPr>
            <w:r>
              <w:t xml:space="preserve">о действующих обязательных требованиях </w:t>
            </w:r>
          </w:p>
        </w:tc>
        <w:tc>
          <w:tcPr>
            <w:cnfStyle w:val="000000100000"/>
            <w:tcW w:w="1275" w:type="dxa"/>
            <w:shd w:val="clear" w:color="auto" w:fill="auto"/>
          </w:tcPr>
          <w:p w14:paraId="0000005A">
            <w:pPr>
              <w:jc w:val="center"/>
              <w:rPr>
                <w:rFonts w:eastAsia="Calibri"/>
                <w:color w:val="000000"/>
                <w:vertAlign w:val="superscript"/>
                <w:lang w:val="en-US"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</w:t>
            </w:r>
            <w:r>
              <w:rPr>
                <w:rFonts w:eastAsia="Calibri"/>
                <w:color w:val="000000"/>
                <w:lang w:eastAsia="en-US"/>
              </w:rPr>
              <w:t xml:space="preserve"> специалист </w:t>
            </w:r>
          </w:p>
        </w:tc>
      </w:tr>
      <w:tr>
        <w:trPr/>
        <w:tc>
          <w:tcPr>
            <w:cnfStyle w:val="001000010000"/>
            <w:tcW w:w="709" w:type="dxa"/>
            <w:shd w:val="clear" w:color="auto" w:fill="auto"/>
          </w:tcPr>
          <w:p w14:paraId="0000005B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cnfStyle w:val="000000010000"/>
            <w:tcW w:w="4253" w:type="dxa"/>
            <w:shd w:val="clear" w:color="auto" w:fill="auto"/>
          </w:tcPr>
          <w:p w14:paraId="0000005C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Размещение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поселения сведений об изменениях, внесенных в нормативные правовые акты, регулирующие осуществление контроля, о сроках и порядке их вступления в силу</w:t>
            </w:r>
          </w:p>
        </w:tc>
        <w:tc>
          <w:tcPr>
            <w:cnfStyle w:val="000000010000"/>
            <w:tcW w:w="1417" w:type="dxa"/>
            <w:shd w:val="clear" w:color="auto" w:fill="auto"/>
          </w:tcPr>
          <w:p w14:paraId="0000005D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течение года (при необходимости)</w:t>
            </w:r>
          </w:p>
          <w:p w14:paraId="0000005E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0000005F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  <w:p w14:paraId="00000060">
            <w:pPr>
              <w:ind w:left="-108" w:right="-108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cnfStyle w:val="000000010000"/>
            <w:tcW w:w="1985" w:type="dxa"/>
          </w:tcPr>
          <w:p w14:paraId="00000061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00000062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cnfStyle w:val="000000010000"/>
            <w:tcW w:w="1275" w:type="dxa"/>
            <w:shd w:val="clear" w:color="auto" w:fill="auto"/>
          </w:tcPr>
          <w:p w14:paraId="00000063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</w:t>
            </w:r>
            <w:r>
              <w:rPr>
                <w:rFonts w:eastAsia="Calibri"/>
                <w:color w:val="000000"/>
                <w:lang w:eastAsia="en-US"/>
              </w:rPr>
              <w:t xml:space="preserve"> специалист</w:t>
            </w:r>
          </w:p>
        </w:tc>
      </w:tr>
      <w:tr>
        <w:trPr/>
        <w:tc>
          <w:tcPr>
            <w:cnfStyle w:val="001000100000"/>
            <w:tcW w:w="709" w:type="dxa"/>
            <w:shd w:val="clear" w:color="auto" w:fill="auto"/>
          </w:tcPr>
          <w:p w14:paraId="00000064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cnfStyle w:val="000000100000"/>
            <w:tcW w:w="4253" w:type="dxa"/>
            <w:shd w:val="clear" w:color="auto" w:fill="auto"/>
          </w:tcPr>
          <w:p w14:paraId="00000065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Информирование контролируемых лиц посредством размещения информации о необходимости соблюдения обязательных требований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поселения, в средствах массовой информации  и в иных формах</w:t>
            </w:r>
          </w:p>
        </w:tc>
        <w:tc>
          <w:tcPr>
            <w:cnfStyle w:val="000000100000"/>
            <w:tcW w:w="1417" w:type="dxa"/>
            <w:shd w:val="clear" w:color="auto" w:fill="auto"/>
          </w:tcPr>
          <w:p w14:paraId="0000006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не реже 1 раза </w:t>
            </w:r>
          </w:p>
          <w:p w14:paraId="0000006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 квартал</w:t>
            </w:r>
          </w:p>
        </w:tc>
        <w:tc>
          <w:tcPr>
            <w:cnfStyle w:val="000000100000"/>
            <w:tcW w:w="1985" w:type="dxa"/>
          </w:tcPr>
          <w:p w14:paraId="00000068">
            <w:pPr>
              <w:rPr>
                <w:rFonts w:eastAsia="Calibri"/>
              </w:rPr>
            </w:pPr>
            <w:r>
              <w:t xml:space="preserve">Повышение информированности подконтрольных субъектов </w:t>
            </w:r>
          </w:p>
          <w:p w14:paraId="00000069">
            <w:pPr>
              <w:rPr>
                <w:rFonts w:eastAsia="Calibri"/>
                <w:color w:val="000000"/>
                <w:lang w:eastAsia="en-US"/>
              </w:rPr>
            </w:pPr>
            <w:r>
              <w:t>о действующих обязательных требованиях</w:t>
            </w:r>
          </w:p>
        </w:tc>
        <w:tc>
          <w:tcPr>
            <w:cnfStyle w:val="000000100000"/>
            <w:tcW w:w="1275" w:type="dxa"/>
            <w:shd w:val="clear" w:color="auto" w:fill="auto"/>
          </w:tcPr>
          <w:p w14:paraId="0000006A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Ведущий</w:t>
            </w:r>
          </w:p>
          <w:p w14:paraId="0000006B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специалист</w:t>
            </w:r>
          </w:p>
        </w:tc>
      </w:tr>
      <w:tr>
        <w:trPr/>
        <w:tc>
          <w:tcPr>
            <w:cnfStyle w:val="001000010000"/>
            <w:tcW w:w="709" w:type="dxa"/>
            <w:shd w:val="clear" w:color="auto" w:fill="auto"/>
          </w:tcPr>
          <w:p w14:paraId="0000006C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4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cnfStyle w:val="000000010000"/>
            <w:tcW w:w="4253" w:type="dxa"/>
            <w:shd w:val="clear" w:color="auto" w:fill="auto"/>
          </w:tcPr>
          <w:p w14:paraId="0000006D">
            <w:pPr>
              <w:rPr>
                <w:rFonts w:eastAsia="Calibri"/>
                <w:lang w:eastAsia="en-US"/>
              </w:rPr>
            </w:pPr>
            <w:r>
              <w:t>Подведение итогов о результатах осуществления муниципального контроля</w:t>
            </w:r>
          </w:p>
        </w:tc>
        <w:tc>
          <w:tcPr>
            <w:cnfStyle w:val="000000010000"/>
            <w:tcW w:w="1417" w:type="dxa"/>
            <w:shd w:val="clear" w:color="auto" w:fill="auto"/>
          </w:tcPr>
          <w:p w14:paraId="0000006E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до 15 марта года, следующего за отчетным</w:t>
            </w:r>
          </w:p>
        </w:tc>
        <w:tc>
          <w:tcPr>
            <w:cnfStyle w:val="000000010000"/>
            <w:tcW w:w="1985" w:type="dxa"/>
          </w:tcPr>
          <w:p w14:paraId="0000006F">
            <w:pPr>
              <w:rPr>
                <w:rFonts w:eastAsia="Calibri"/>
                <w:color w:val="000000"/>
                <w:lang w:eastAsia="en-US"/>
              </w:rPr>
            </w:pPr>
            <w:r>
              <w:t>Доклад о результатах осуществления муниципального контроля за отчетный (прошедший) год</w:t>
            </w:r>
          </w:p>
        </w:tc>
        <w:tc>
          <w:tcPr>
            <w:cnfStyle w:val="000000010000"/>
            <w:tcW w:w="1275" w:type="dxa"/>
            <w:shd w:val="clear" w:color="auto" w:fill="auto"/>
          </w:tcPr>
          <w:p w14:paraId="00000070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специалист </w:t>
            </w:r>
          </w:p>
        </w:tc>
      </w:tr>
      <w:tr>
        <w:trPr/>
        <w:tc>
          <w:tcPr>
            <w:cnfStyle w:val="001000100000"/>
            <w:tcW w:w="709" w:type="dxa"/>
            <w:shd w:val="clear" w:color="auto" w:fill="auto"/>
          </w:tcPr>
          <w:p w14:paraId="00000071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5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cnfStyle w:val="000000100000"/>
            <w:tcW w:w="4253" w:type="dxa"/>
            <w:shd w:val="clear" w:color="auto" w:fill="auto"/>
          </w:tcPr>
          <w:p w14:paraId="0000007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Разработка, утверждение и размещение на официальном портале администрации </w:t>
            </w:r>
            <w:r>
              <w:rPr>
                <w:rFonts w:eastAsia="Calibri"/>
                <w:lang w:eastAsia="en-US"/>
              </w:rPr>
              <w:t>Портбайкальского</w:t>
            </w:r>
            <w:r>
              <w:rPr>
                <w:rFonts w:eastAsia="Calibri"/>
                <w:lang w:eastAsia="en-US"/>
              </w:rPr>
              <w:t xml:space="preserve"> сельского </w:t>
            </w:r>
            <w:r>
              <w:rPr>
                <w:rFonts w:eastAsia="Calibri"/>
                <w:lang w:eastAsia="en-US"/>
              </w:rPr>
              <w:t>поселения  Программы</w:t>
            </w:r>
            <w:r>
              <w:rPr>
                <w:rFonts w:eastAsia="Calibri"/>
                <w:lang w:eastAsia="en-US"/>
              </w:rPr>
              <w:t xml:space="preserve"> профилактики рисков причинения вреда (ущерба) охраняемым законом ценностям при осуществлении муниципального контроля в сфере благоустройства на 2026</w:t>
            </w:r>
            <w:r>
              <w:rPr>
                <w:rFonts w:eastAsia="Calibri"/>
                <w:lang w:eastAsia="en-US"/>
              </w:rPr>
              <w:t xml:space="preserve"> год</w:t>
            </w:r>
          </w:p>
        </w:tc>
        <w:tc>
          <w:tcPr>
            <w:cnfStyle w:val="000000100000"/>
            <w:tcW w:w="1417" w:type="dxa"/>
            <w:shd w:val="clear" w:color="auto" w:fill="auto"/>
          </w:tcPr>
          <w:p w14:paraId="00000073">
            <w:pPr>
              <w:jc w:val="center"/>
              <w:rPr>
                <w:rFonts w:eastAsia="Calibri"/>
                <w:color w:val="000000"/>
                <w:highlight w:val="yellow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утверждение – </w:t>
            </w:r>
            <w:r>
              <w:rPr>
                <w:rFonts w:eastAsia="Calibri"/>
                <w:color w:val="000000"/>
                <w:lang w:eastAsia="en-US"/>
              </w:rPr>
              <w:t xml:space="preserve">до </w:t>
            </w:r>
            <w:r>
              <w:rPr>
                <w:rFonts w:eastAsia="Calibri"/>
                <w:color w:val="000000"/>
                <w:lang w:eastAsia="en-US"/>
              </w:rPr>
              <w:t xml:space="preserve"> 20</w:t>
            </w:r>
            <w:r>
              <w:rPr>
                <w:rFonts w:eastAsia="Calibri"/>
                <w:color w:val="000000"/>
                <w:lang w:eastAsia="en-US"/>
              </w:rPr>
              <w:t xml:space="preserve"> декабря текущего года, </w:t>
            </w:r>
            <w:r>
              <w:rPr>
                <w:rFonts w:eastAsia="Calibri"/>
                <w:color w:val="000000"/>
                <w:lang w:eastAsia="en-US"/>
              </w:rPr>
              <w:t>размещение – в течение 5 дней со дня утверждения</w:t>
            </w:r>
          </w:p>
        </w:tc>
        <w:tc>
          <w:tcPr>
            <w:cnfStyle w:val="000000100000"/>
            <w:tcW w:w="1985" w:type="dxa"/>
          </w:tcPr>
          <w:p w14:paraId="00000074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Утверждение новой программы профилактики</w:t>
            </w:r>
          </w:p>
        </w:tc>
        <w:tc>
          <w:tcPr>
            <w:cnfStyle w:val="000000100000"/>
            <w:tcW w:w="1275" w:type="dxa"/>
            <w:shd w:val="clear" w:color="auto" w:fill="auto"/>
          </w:tcPr>
          <w:p w14:paraId="00000075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Ведущий </w:t>
            </w:r>
            <w:r>
              <w:rPr>
                <w:rFonts w:eastAsia="Calibri"/>
                <w:color w:val="000000"/>
                <w:lang w:eastAsia="en-US"/>
              </w:rPr>
              <w:t xml:space="preserve">специалист </w:t>
            </w:r>
          </w:p>
        </w:tc>
      </w:tr>
      <w:tr>
        <w:trPr/>
        <w:tc>
          <w:tcPr>
            <w:cnfStyle w:val="001000010000"/>
            <w:tcW w:w="709" w:type="dxa"/>
            <w:shd w:val="clear" w:color="auto" w:fill="auto"/>
          </w:tcPr>
          <w:p w14:paraId="00000076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7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  <w:tc>
          <w:tcPr>
            <w:cnfStyle w:val="000000010000"/>
            <w:tcW w:w="4253" w:type="dxa"/>
            <w:shd w:val="clear" w:color="auto" w:fill="auto"/>
          </w:tcPr>
          <w:p w14:paraId="00000077">
            <w:pPr>
              <w:ind w:left="55"/>
              <w:rPr/>
            </w:pPr>
            <w:r>
              <w:t xml:space="preserve">Проведение консультаций, разъяснительной работы по информированию </w:t>
            </w:r>
            <w:r>
              <w:t>контролируемых лиц и их представителей</w:t>
            </w:r>
            <w:r>
              <w:t xml:space="preserve"> по следующим вопросам:</w:t>
            </w:r>
          </w:p>
          <w:p w14:paraId="00000078">
            <w:pPr>
              <w:widowControl w:val="off"/>
              <w:rPr/>
            </w:pPr>
            <w:r>
              <w:t>1) организация и осуществление муниципального контроля;</w:t>
            </w:r>
          </w:p>
          <w:p w14:paraId="00000079">
            <w:pPr>
              <w:widowControl w:val="off"/>
              <w:rPr/>
            </w:pPr>
            <w:r>
              <w:t xml:space="preserve"> 2) порядок осуществления контрольных мероприятий, установленных положением о муниципальном контроле;</w:t>
            </w:r>
          </w:p>
          <w:p w14:paraId="0000007A">
            <w:pPr>
              <w:shd w:val="clear" w:color="auto" w:fill="ffffff"/>
              <w:rPr/>
            </w:pPr>
            <w:r>
              <w:t xml:space="preserve"> 3) </w:t>
            </w:r>
            <w:r>
              <w:rPr/>
              <w:t>порядок осуществления</w:t>
            </w:r>
          </w:p>
          <w:p w14:paraId="0000007B">
            <w:pPr>
              <w:shd w:val="clear" w:color="auto" w:fill="ffffff"/>
              <w:rPr/>
            </w:pPr>
            <w:r>
              <w:rPr/>
              <w:t>профилактических мероприятий;</w:t>
            </w:r>
          </w:p>
          <w:p w14:paraId="0000007C">
            <w:pPr>
              <w:shd w:val="clear" w:color="auto" w:fill="ffffff"/>
              <w:rPr/>
            </w:pPr>
            <w:r>
              <w:rPr/>
              <w:t>4) порядок принятия решений по</w:t>
            </w:r>
          </w:p>
          <w:p w14:paraId="0000007D">
            <w:pPr>
              <w:shd w:val="clear" w:color="auto" w:fill="ffffff"/>
              <w:rPr/>
            </w:pPr>
            <w:r>
              <w:rPr/>
              <w:t>итогам контрольных мероприятий;</w:t>
            </w:r>
          </w:p>
          <w:p w14:paraId="0000007E">
            <w:pPr>
              <w:shd w:val="clear" w:color="auto" w:fill="ffffff"/>
              <w:rPr>
                <w:rFonts w:ascii="YS Text" w:hAnsi="YS Text"/>
                <w:color w:val="000000"/>
                <w:sz w:val="23"/>
                <w:szCs w:val="23"/>
              </w:rPr>
            </w:pPr>
            <w:r>
              <w:rPr/>
              <w:t>5) порядок обжалования решений контрольного органа</w:t>
            </w:r>
            <w:r>
              <w:rPr>
                <w:rFonts w:ascii="YS Text" w:hAnsi="YS Text"/>
                <w:color w:val="000000"/>
                <w:sz w:val="23"/>
                <w:szCs w:val="23"/>
              </w:rPr>
              <w:t>.</w:t>
            </w:r>
          </w:p>
          <w:p w14:paraId="0000007F">
            <w:pPr>
              <w:widowControl w:val="off"/>
              <w:rPr/>
            </w:pPr>
          </w:p>
        </w:tc>
        <w:tc>
          <w:tcPr>
            <w:cnfStyle w:val="000000010000"/>
            <w:tcW w:w="1417" w:type="dxa"/>
            <w:shd w:val="clear" w:color="auto" w:fill="auto"/>
          </w:tcPr>
          <w:p w14:paraId="00000080">
            <w:pPr>
              <w:ind w:left="126"/>
              <w:rPr/>
            </w:pPr>
            <w:r>
              <w:t>По мере обращения. Способы консульти</w:t>
            </w:r>
            <w:r>
              <w:t>рования:</w:t>
            </w:r>
          </w:p>
          <w:p w14:paraId="00000081">
            <w:pPr>
              <w:ind w:left="126"/>
              <w:rPr/>
            </w:pPr>
            <w:r>
              <w:t>по телефону, на личном</w:t>
            </w:r>
          </w:p>
          <w:p w14:paraId="00000082">
            <w:pPr>
              <w:ind w:left="126"/>
              <w:rPr/>
            </w:pPr>
            <w:r>
              <w:t>приеме, в ходе проведения</w:t>
            </w:r>
          </w:p>
          <w:p w14:paraId="00000083">
            <w:pPr>
              <w:ind w:left="126"/>
              <w:rPr/>
            </w:pPr>
            <w:r>
              <w:t>контрольных и профилактических</w:t>
            </w:r>
          </w:p>
          <w:p w14:paraId="00000084">
            <w:pPr>
              <w:ind w:left="126"/>
              <w:rPr/>
            </w:pPr>
            <w:r>
              <w:t xml:space="preserve">мероприятий, посредством </w:t>
            </w:r>
            <w:r>
              <w:t>видео-конференцсвязи</w:t>
            </w:r>
          </w:p>
        </w:tc>
        <w:tc>
          <w:tcPr>
            <w:cnfStyle w:val="000000010000"/>
            <w:tcW w:w="1985" w:type="dxa"/>
          </w:tcPr>
          <w:p w14:paraId="00000085">
            <w:r>
              <w:t xml:space="preserve">Повышение информированности подконтрольных субъектов </w:t>
            </w:r>
          </w:p>
          <w:p w14:paraId="00000086">
            <w:r>
              <w:t xml:space="preserve">о действующих обязательных требованиях </w:t>
            </w:r>
          </w:p>
        </w:tc>
        <w:tc>
          <w:tcPr>
            <w:cnfStyle w:val="000000010000"/>
            <w:tcW w:w="1275" w:type="dxa"/>
            <w:shd w:val="clear" w:color="auto" w:fill="auto"/>
          </w:tcPr>
          <w:p w14:paraId="00000087">
            <w:r>
              <w:rPr>
                <w:rFonts w:eastAsia="Calibri"/>
                <w:color w:val="000000"/>
                <w:lang w:eastAsia="en-US"/>
              </w:rPr>
              <w:t>Специалисты администрации</w:t>
            </w:r>
          </w:p>
        </w:tc>
      </w:tr>
      <w:tr>
        <w:trPr/>
        <w:tc>
          <w:tcPr>
            <w:cnfStyle w:val="001000100000"/>
            <w:tcW w:w="709" w:type="dxa"/>
            <w:shd w:val="clear" w:color="auto" w:fill="auto"/>
          </w:tcPr>
          <w:p w14:paraId="00000088">
            <w:pPr>
              <w:ind w:left="-108" w:right="-131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8</w:t>
            </w:r>
          </w:p>
        </w:tc>
        <w:tc>
          <w:tcPr>
            <w:cnfStyle w:val="000000100000"/>
            <w:tcW w:w="4253" w:type="dxa"/>
            <w:shd w:val="clear" w:color="auto" w:fill="auto"/>
          </w:tcPr>
          <w:p w14:paraId="00000089">
            <w:pPr>
              <w:rPr>
                <w:rFonts w:eastAsia="Calibri"/>
              </w:rPr>
            </w:pPr>
            <w:r>
              <w:t>Проведение профилактического визита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мероприятий, проводимых в отношении объекта контроля исходя из его отнесения к соответствующей категории риска.</w:t>
            </w:r>
          </w:p>
          <w:p w14:paraId="0000008A">
            <w:pPr>
              <w:rPr>
                <w:rFonts w:eastAsia="Calibri"/>
                <w:lang w:eastAsia="en-US"/>
              </w:rPr>
            </w:pPr>
            <w:r>
              <w:t>Проведение обязательных профилактических визитов должно быть предусмотрено в отношении контролируемых лиц, приступающих к осуществлению деятельности в определенной сфере.</w:t>
            </w:r>
          </w:p>
        </w:tc>
        <w:tc>
          <w:tcPr>
            <w:cnfStyle w:val="000000100000"/>
            <w:tcW w:w="1417" w:type="dxa"/>
            <w:shd w:val="clear" w:color="auto" w:fill="auto"/>
          </w:tcPr>
          <w:p w14:paraId="0000008B">
            <w:pPr>
              <w:rPr>
                <w:rFonts w:eastAsia="Calibri"/>
                <w:lang w:eastAsia="en-US"/>
              </w:rPr>
            </w:pPr>
            <w:r>
              <w:t>По мере необходимости, но не реже одного раза в год. Контролируемое лицо должно быть уведомлено за пять рабочих дней до даты его проведения</w:t>
            </w:r>
          </w:p>
        </w:tc>
        <w:tc>
          <w:tcPr>
            <w:cnfStyle w:val="000000100000"/>
            <w:tcW w:w="1985" w:type="dxa"/>
          </w:tcPr>
          <w:p w14:paraId="0000008C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t>Уменьшение административной нагрузки на подконтрольных субъектах</w:t>
            </w:r>
          </w:p>
        </w:tc>
        <w:tc>
          <w:tcPr>
            <w:cnfStyle w:val="000000100000"/>
            <w:tcW w:w="1275" w:type="dxa"/>
            <w:shd w:val="clear" w:color="auto" w:fill="auto"/>
          </w:tcPr>
          <w:p w14:paraId="0000008D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Специалисты администрации</w:t>
            </w:r>
          </w:p>
        </w:tc>
      </w:tr>
    </w:tbl>
    <w:p w14:paraId="0000008E">
      <w:pPr>
        <w:jc w:val="center"/>
        <w:rPr>
          <w:rFonts w:eastAsia="Calibri"/>
          <w:lang w:eastAsia="en-US"/>
        </w:rPr>
      </w:pPr>
    </w:p>
    <w:p w14:paraId="0000008F">
      <w:pPr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Раздел 4. Показатели результативности и эффективности программы профилактики</w:t>
      </w:r>
    </w:p>
    <w:p w14:paraId="00000090">
      <w:pPr>
        <w:jc w:val="center"/>
        <w:rPr>
          <w:rFonts w:eastAsia="Calibri"/>
          <w:lang w:eastAsia="en-US"/>
        </w:rPr>
      </w:pPr>
    </w:p>
    <w:p w14:paraId="00000091">
      <w:pPr>
        <w:widowControl w:val="off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14:paraId="00000092">
      <w:pPr>
        <w:widowControl w:val="off"/>
        <w:ind w:firstLine="709"/>
        <w:jc w:val="both"/>
        <w:rPr>
          <w:lang w:eastAsia="en-US"/>
        </w:rPr>
      </w:pPr>
      <w:r>
        <w:rPr>
          <w:lang w:eastAsia="en-US"/>
        </w:rPr>
        <w:t>Оценка эффективности Прогр</w:t>
      </w:r>
      <w:r>
        <w:rPr>
          <w:lang w:eastAsia="en-US"/>
        </w:rPr>
        <w:t>аммы производится по итогам 2025</w:t>
      </w:r>
      <w:r>
        <w:rPr>
          <w:lang w:eastAsia="en-US"/>
        </w:rPr>
        <w:t xml:space="preserve"> года методом сравнения показателей качества профилактической деятельности с предыдущим годом.</w:t>
      </w:r>
    </w:p>
    <w:p w14:paraId="00000093">
      <w:pPr>
        <w:widowControl w:val="off"/>
        <w:ind w:firstLine="709"/>
        <w:jc w:val="both"/>
        <w:rPr>
          <w:lang w:eastAsia="en-US"/>
        </w:rPr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/>
      </w:tblPr>
      <w:tblGrid>
        <w:gridCol w:w="5393"/>
        <w:gridCol w:w="3701"/>
      </w:tblGrid>
      <w:tr>
        <w:trPr>
          <w:tblHeader w:val="on"/>
        </w:trPr>
        <w:tc>
          <w:tcPr>
            <w:cnfStyle w:val="101000000000"/>
            <w:tcW w:w="5528" w:type="dxa"/>
            <w:shd w:val="clear" w:color="auto" w:fill="auto"/>
          </w:tcPr>
          <w:p w14:paraId="0000009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cnfStyle w:val="100000000000"/>
            <w:tcW w:w="3793" w:type="dxa"/>
            <w:shd w:val="clear" w:color="auto" w:fill="auto"/>
          </w:tcPr>
          <w:p w14:paraId="0000009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Значение показателя</w:t>
            </w:r>
          </w:p>
        </w:tc>
      </w:tr>
      <w:tr>
        <w:trPr>
          <w:tblHeader w:val="on"/>
        </w:trPr>
        <w:tc>
          <w:tcPr>
            <w:cnfStyle w:val="001000100000"/>
            <w:tcW w:w="5528" w:type="dxa"/>
            <w:shd w:val="clear" w:color="auto" w:fill="auto"/>
          </w:tcPr>
          <w:p w14:paraId="0000009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cnfStyle w:val="000000100000"/>
            <w:tcW w:w="3793" w:type="dxa"/>
            <w:shd w:val="clear" w:color="auto" w:fill="auto"/>
          </w:tcPr>
          <w:p w14:paraId="00000097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</w:tr>
      <w:tr>
        <w:trPr/>
        <w:tc>
          <w:tcPr>
            <w:cnfStyle w:val="001000010000"/>
            <w:tcW w:w="5528" w:type="dxa"/>
            <w:shd w:val="clear" w:color="auto" w:fill="auto"/>
          </w:tcPr>
          <w:p w14:paraId="00000098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контролируемых лиц, информированных об обязательных требованиях</w:t>
            </w:r>
          </w:p>
        </w:tc>
        <w:tc>
          <w:tcPr>
            <w:cnfStyle w:val="000000010000"/>
            <w:tcW w:w="3793" w:type="dxa"/>
            <w:shd w:val="clear" w:color="auto" w:fill="auto"/>
          </w:tcPr>
          <w:p w14:paraId="00000099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0000009A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>
        <w:trPr/>
        <w:tc>
          <w:tcPr>
            <w:cnfStyle w:val="001000100000"/>
            <w:tcW w:w="5528" w:type="dxa"/>
            <w:shd w:val="clear" w:color="auto" w:fill="auto"/>
          </w:tcPr>
          <w:p w14:paraId="0000009B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Доля контролируемых лиц, положительно оценивающих доступность информации об обязательных требованиях</w:t>
            </w:r>
          </w:p>
        </w:tc>
        <w:tc>
          <w:tcPr>
            <w:cnfStyle w:val="000000100000"/>
            <w:tcW w:w="3793" w:type="dxa"/>
            <w:shd w:val="clear" w:color="auto" w:fill="auto"/>
          </w:tcPr>
          <w:p w14:paraId="0000009C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не менее 60 % опрошенных</w:t>
            </w:r>
          </w:p>
          <w:p w14:paraId="0000009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контролируемых лиц</w:t>
            </w:r>
          </w:p>
        </w:tc>
      </w:tr>
      <w:tr>
        <w:trPr/>
        <w:tc>
          <w:tcPr>
            <w:cnfStyle w:val="001000010000"/>
            <w:tcW w:w="5528" w:type="dxa"/>
            <w:shd w:val="clear" w:color="auto" w:fill="auto"/>
          </w:tcPr>
          <w:p w14:paraId="0000009E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 xml:space="preserve">Доля выполнения мероприятий, предусмотренных программой профилактики </w:t>
            </w:r>
          </w:p>
        </w:tc>
        <w:tc>
          <w:tcPr>
            <w:cnfStyle w:val="000000010000"/>
            <w:tcW w:w="3793" w:type="dxa"/>
            <w:shd w:val="clear" w:color="auto" w:fill="auto"/>
          </w:tcPr>
          <w:p w14:paraId="0000009F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100 %</w:t>
            </w:r>
          </w:p>
        </w:tc>
      </w:tr>
    </w:tbl>
    <w:p w14:paraId="000000A0">
      <w:pPr>
        <w:widowControl w:val="off"/>
        <w:jc w:val="both"/>
        <w:rPr>
          <w:lang w:eastAsia="en-US"/>
        </w:rPr>
      </w:pPr>
    </w:p>
    <w:p w14:paraId="000000A1">
      <w:pPr>
        <w:widowControl w:val="off"/>
        <w:ind w:firstLine="709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Ожидаемые конечные результаты: </w:t>
      </w:r>
    </w:p>
    <w:p w14:paraId="000000A2">
      <w:pPr>
        <w:widowControl w:val="off"/>
        <w:ind w:firstLine="709"/>
        <w:jc w:val="both"/>
        <w:rPr>
          <w:bCs/>
          <w:iCs/>
          <w:lang w:eastAsia="en-US"/>
        </w:rPr>
      </w:pPr>
      <w:r>
        <w:rPr>
          <w:bCs/>
          <w:iCs/>
          <w:lang w:eastAsia="en-US"/>
        </w:rPr>
        <w:t>-</w:t>
      </w:r>
      <w:r>
        <w:rPr>
          <w:bCs/>
          <w:iCs/>
          <w:lang w:val="en-US" w:eastAsia="en-US"/>
        </w:rPr>
        <w:t> </w:t>
      </w:r>
      <w:r>
        <w:rPr>
          <w:bCs/>
          <w:iCs/>
          <w:lang w:eastAsia="en-US"/>
        </w:rPr>
        <w:t>минимизирование количества нарушений субъектами профилактики обязательных требований, установленных Правилами благоустройства.</w:t>
      </w:r>
    </w:p>
    <w:p w14:paraId="000000A3">
      <w:pPr>
        <w:widowControl w:val="off"/>
        <w:tabs>
          <w:tab w:val="left" w:pos="992"/>
        </w:tabs>
        <w:ind w:firstLine="709"/>
        <w:jc w:val="both"/>
        <w:rPr>
          <w:lang w:eastAsia="en-US"/>
        </w:rPr>
      </w:pPr>
    </w:p>
    <w:p w14:paraId="000000A4">
      <w:pPr>
        <w:tabs>
          <w:tab w:val="left" w:pos="1154"/>
        </w:tabs>
        <w:rPr/>
      </w:pPr>
    </w:p>
    <w:p w14:paraId="000000A5">
      <w:pPr>
        <w:ind w:firstLine="709"/>
        <w:jc w:val="right"/>
        <w:rPr>
          <w:rFonts w:ascii="Arial" w:cs="Arial" w:hAnsi="Arial"/>
        </w:rPr>
      </w:pPr>
    </w:p>
    <w:sectPr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r>
        <w:rPr/>
        <w:separator/>
      </w:r>
    </w:p>
  </w:endnote>
  <w:endnote w:type="continuationSeparator" w:id="1">
    <w:p w14:paraId="00000004"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YS Text">
    <w:altName w:val="Times New Roman"/>
    <w:panose1 w:val="00000000000000000000"/>
    <w:charset w:val="00"/>
    <w:family w:val="roman"/>
    <w:notTrueType w:val="on"/>
    <w:pitch w:val="default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r>
        <w:rPr/>
        <w:separator/>
      </w:r>
    </w:p>
  </w:footnote>
  <w:footnote w:type="continuationSeparator" w:id="1">
    <w:p w14:paraId="00000002">
      <w:r>
        <w:rPr/>
        <w:continuation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multiLevelType w:val="hybridMultilevel"/>
    <w:lvl w:ilvl="0" w:tentative="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 w:tentative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D7"/>
    <w:rsid w:val="00017295"/>
    <w:rsid w:val="0008779B"/>
    <w:rsid w:val="000E4C66"/>
    <w:rsid w:val="000F7EDD"/>
    <w:rsid w:val="00156AAB"/>
    <w:rsid w:val="001742B2"/>
    <w:rsid w:val="001807DA"/>
    <w:rsid w:val="00191DF7"/>
    <w:rsid w:val="001D7F44"/>
    <w:rsid w:val="001E4736"/>
    <w:rsid w:val="001E5995"/>
    <w:rsid w:val="001E649F"/>
    <w:rsid w:val="00224B90"/>
    <w:rsid w:val="00274EE8"/>
    <w:rsid w:val="0029010F"/>
    <w:rsid w:val="00296633"/>
    <w:rsid w:val="002A5E2A"/>
    <w:rsid w:val="002F12DA"/>
    <w:rsid w:val="00301502"/>
    <w:rsid w:val="003072A7"/>
    <w:rsid w:val="0034261E"/>
    <w:rsid w:val="00356566"/>
    <w:rsid w:val="00360C53"/>
    <w:rsid w:val="003647C2"/>
    <w:rsid w:val="003920C5"/>
    <w:rsid w:val="003A360D"/>
    <w:rsid w:val="00402846"/>
    <w:rsid w:val="00403F30"/>
    <w:rsid w:val="00445BA3"/>
    <w:rsid w:val="00450E84"/>
    <w:rsid w:val="00455956"/>
    <w:rsid w:val="00462196"/>
    <w:rsid w:val="00473EB5"/>
    <w:rsid w:val="00484203"/>
    <w:rsid w:val="00491272"/>
    <w:rsid w:val="00492383"/>
    <w:rsid w:val="005635C1"/>
    <w:rsid w:val="005C590E"/>
    <w:rsid w:val="00624B37"/>
    <w:rsid w:val="00643469"/>
    <w:rsid w:val="006449EB"/>
    <w:rsid w:val="00647C03"/>
    <w:rsid w:val="006538E7"/>
    <w:rsid w:val="00654789"/>
    <w:rsid w:val="006949B8"/>
    <w:rsid w:val="006E0F45"/>
    <w:rsid w:val="00714968"/>
    <w:rsid w:val="00745B50"/>
    <w:rsid w:val="00757AAA"/>
    <w:rsid w:val="00791171"/>
    <w:rsid w:val="00796D27"/>
    <w:rsid w:val="007C1211"/>
    <w:rsid w:val="007D2287"/>
    <w:rsid w:val="00814D8D"/>
    <w:rsid w:val="00830831"/>
    <w:rsid w:val="0084382E"/>
    <w:rsid w:val="008D14C0"/>
    <w:rsid w:val="008E28C6"/>
    <w:rsid w:val="00906BAD"/>
    <w:rsid w:val="00932D9C"/>
    <w:rsid w:val="00956F58"/>
    <w:rsid w:val="009704E8"/>
    <w:rsid w:val="009A7172"/>
    <w:rsid w:val="009B0B54"/>
    <w:rsid w:val="009F090C"/>
    <w:rsid w:val="009F6646"/>
    <w:rsid w:val="00A03120"/>
    <w:rsid w:val="00A360F5"/>
    <w:rsid w:val="00A40ACB"/>
    <w:rsid w:val="00A579AF"/>
    <w:rsid w:val="00A660FF"/>
    <w:rsid w:val="00A719DE"/>
    <w:rsid w:val="00A91908"/>
    <w:rsid w:val="00AB58D6"/>
    <w:rsid w:val="00AD0C2A"/>
    <w:rsid w:val="00AD4D4F"/>
    <w:rsid w:val="00B13B26"/>
    <w:rsid w:val="00B20065"/>
    <w:rsid w:val="00B77500"/>
    <w:rsid w:val="00B86DF6"/>
    <w:rsid w:val="00BC43ED"/>
    <w:rsid w:val="00C31F74"/>
    <w:rsid w:val="00C34E19"/>
    <w:rsid w:val="00C64E72"/>
    <w:rsid w:val="00C74A2F"/>
    <w:rsid w:val="00C760EB"/>
    <w:rsid w:val="00CD2CF5"/>
    <w:rsid w:val="00CE328E"/>
    <w:rsid w:val="00CF372D"/>
    <w:rsid w:val="00D11B71"/>
    <w:rsid w:val="00D21D2B"/>
    <w:rsid w:val="00D32612"/>
    <w:rsid w:val="00D43FBB"/>
    <w:rsid w:val="00D574E3"/>
    <w:rsid w:val="00D965DE"/>
    <w:rsid w:val="00DB48A6"/>
    <w:rsid w:val="00E16447"/>
    <w:rsid w:val="00E65FD7"/>
    <w:rsid w:val="00E67052"/>
    <w:rsid w:val="00F00C75"/>
    <w:rsid w:val="00F0719E"/>
    <w:rsid w:val="00F21632"/>
    <w:rsid w:val="00F51A6A"/>
    <w:rsid w:val="00F60298"/>
    <w:rsid w:val="00F60F11"/>
    <w:rsid w:val="00F82BFB"/>
    <w:rsid w:val="00FC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C8EA26"/>
  <w15:docId w15:val="{B85CE049-CD8E-4B57-B43E-488CA0E991DC}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  <w:lang w:val="ru-RU" w:bidi="ar-SA" w:eastAsia="ru-RU"/>
      </w:rPr>
    </w:rPrDefault>
    <w:pPrDefault/>
  </w:docDefaults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character" w:customStyle="1" w:styleId="FootnoteTextChar">
    <w:name w:val="Footnote Text Char"/>
    <w:uiPriority w:val="99"/>
    <w:semiHidden w:val="on"/>
    <w:rPr>
      <w:sz w:val="20"/>
      <w:szCs w:val="20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  <w:rPr>
      <w:sz w:val="24"/>
      <w:szCs w:val="24"/>
    </w:rPr>
  </w:style>
  <w:style w:type="paragraph" w:styleId="Heading1">
    <w:name w:val="Heading 1"/>
    <w:basedOn w:val="Normal"/>
    <w:next w:val="Normal"/>
    <w:uiPriority w:val="99"/>
    <w:qFormat w:val="on"/>
    <w:pPr>
      <w:keepNext w:val="on"/>
      <w:spacing w:before="240" w:after="60"/>
    </w:pPr>
    <w:rPr>
      <w:rFonts w:ascii="Arial" w:cs="Arial" w:hAnsi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Стиль1">
    <w:name w:val="Стиль1"/>
    <w:basedOn w:val="Heading1"/>
    <w:uiPriority w:val="99"/>
    <w:rPr>
      <w:sz w:val="300"/>
    </w:rPr>
  </w:style>
  <w:style w:type="paragraph" w:customStyle="1" w:styleId="ConsTitle">
    <w:name w:val="ConsTitle"/>
    <w:uiPriority w:val="99"/>
    <w:pPr>
      <w:widowControl w:val="off"/>
      <w:ind w:right="19772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ТекствыноскиЗнак"/>
    <w:uiPriority w:val="99"/>
    <w:semiHidden w:val="on"/>
    <w:unhideWhenUsed w:val="on"/>
    <w:rPr>
      <w:rFonts w:ascii="Tahoma" w:cs="Tahoma" w:hAnsi="Tahoma"/>
      <w:sz w:val="16"/>
      <w:szCs w:val="16"/>
    </w:rPr>
  </w:style>
  <w:style w:type="character" w:customStyle="1" w:styleId="ТекствыноскиЗнак">
    <w:name w:val="Текст выноски Знак"/>
    <w:link w:val="BalloonText"/>
    <w:uiPriority w:val="99"/>
    <w:semiHidden w:val="on"/>
    <w:rPr>
      <w:rFonts w:ascii="Tahoma" w:cs="Tahoma" w:hAnsi="Tahoma"/>
      <w:sz w:val="16"/>
      <w:szCs w:val="16"/>
    </w:rPr>
  </w:style>
  <w:style w:type="character" w:styleId="Hyperlink">
    <w:name w:val="Hyperlink"/>
    <w:uiPriority w:val="99"/>
    <w:unhideWhenUsed w:val="on"/>
    <w:rPr>
      <w:color w:val="0000ff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800080"/>
      <w:u w:val="single"/>
    </w:rPr>
  </w:style>
  <w:style w:type="table" w:styleId="TableGrid">
    <w:name w:val="Table Grid"/>
    <w:basedOn w:val="NormalTable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rPr>
      <w:rFonts w:ascii="Calibri" w:eastAsia="Calibri" w:hAnsi="Calibri"/>
      <w:sz w:val="20"/>
      <w:szCs w:val="20"/>
      <w:lang w:eastAsia="en-US"/>
    </w:rPr>
  </w:style>
  <w:style w:type="character" w:customStyle="1" w:styleId="ТекстсноскиЗнак">
    <w:name w:val="Текст сноски Знак"/>
    <w:link w:val="Footnotetext"/>
    <w:uiPriority w:val="99"/>
    <w:semiHidden w:val="on"/>
    <w:rPr>
      <w:rFonts w:ascii="Calibri" w:eastAsia="Calibri" w:hAnsi="Calibri"/>
      <w:lang w:eastAsia="en-US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BodyText2">
    <w:name w:val="Body Text 2"/>
    <w:basedOn w:val="Normal"/>
    <w:link w:val="Основнойтекст2Знак"/>
    <w:uiPriority w:val="99"/>
    <w:semiHidden w:val="on"/>
    <w:unhideWhenUsed w:val="on"/>
    <w:pPr>
      <w:spacing w:after="120" w:line="480" w:lineRule="auto"/>
    </w:pPr>
  </w:style>
  <w:style w:type="character" w:customStyle="1" w:styleId="Основнойтекст2Знак">
    <w:name w:val="Основной текст 2 Знак"/>
    <w:link w:val="BodyText2"/>
    <w:uiPriority w:val="99"/>
    <w:semiHidden w:val="on"/>
    <w:rPr>
      <w:sz w:val="24"/>
      <w:szCs w:val="24"/>
    </w:rPr>
  </w:style>
  <w:style w:type="character" w:styleId="Emphasis">
    <w:name w:val="Emphasis"/>
    <w:uiPriority w:val="20"/>
    <w:qFormat w:val="on"/>
    <w:rPr>
      <w:i/>
      <w:iCs/>
    </w:rPr>
  </w:style>
  <w:style w:type="paragraph" w:styleId="NoSpacing">
    <w:name w:val="No Spacing"/>
    <w:uiPriority w:val="1"/>
    <w:qFormat w:val="on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pPr/>
    <w:rPr>
      <w:rFonts w:eastAsia="Calibri"/>
      <w:color w:val="000000"/>
      <w:sz w:val="24"/>
      <w:szCs w:val="24"/>
      <w:lang w:eastAsia="en-US"/>
    </w:rPr>
  </w:style>
  <w:style w:type="table" w:customStyle="1" w:styleId="Сеткатаблицы1">
    <w:name w:val="Сетка таблицы1"/>
    <w:basedOn w:val="NormalTable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ConsPlusNormalЗнак">
    <w:name w:val="ConsPlusNormal Знак"/>
    <w:link w:val="ConsPlusNormal"/>
    <w:uiPriority w:val="99"/>
    <w:rPr>
      <w:sz w:val="18"/>
      <w:szCs w:val="18"/>
    </w:rPr>
  </w:style>
  <w:style w:type="paragraph" w:customStyle="1" w:styleId="ConsPlusNormal">
    <w:name w:val="ConsPlusNormal"/>
    <w:link w:val="ConsPlusNormalЗнак"/>
    <w:uiPriority w:val="99"/>
    <w:pPr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1768</Words>
  <Characters>10079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er</Company>
  <LinksUpToDate>false</LinksUpToDate>
  <CharactersWithSpaces>11824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Надежда</cp:lastModifiedBy>
</cp:coreProperties>
</file>