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body>
    <w:p w14:paraId="00000005">
      <w:pPr>
        <w:widowControl w:val="off"/>
        <w:jc w:val="center"/>
        <w:rPr>
          <w:rFonts w:ascii="Arial" w:cs="Arial" w:hAnsi="Arial"/>
          <w:b/>
          <w:bCs/>
          <w:sz w:val="32"/>
          <w:szCs w:val="32"/>
        </w:rPr>
      </w:pPr>
    </w:p>
    <w:p w14:paraId="00000006">
      <w:pPr>
        <w:widowControl w:val="off"/>
        <w:jc w:val="center"/>
        <w:rPr>
          <w:rFonts w:ascii="Arial" w:cs="Arial" w:hAnsi="Arial"/>
          <w:b/>
          <w:bCs/>
          <w:sz w:val="32"/>
          <w:szCs w:val="32"/>
        </w:rPr>
      </w:pPr>
      <w:r>
        <w:rPr>
          <w:rFonts w:ascii="Arial" w:cs="Arial" w:hAnsi="Arial"/>
          <w:b/>
          <w:bCs/>
          <w:sz w:val="32"/>
          <w:szCs w:val="32"/>
        </w:rPr>
        <w:t>№</w:t>
      </w:r>
      <w:r>
        <w:rPr>
          <w:rFonts w:ascii="Arial" w:cs="Arial" w:hAnsi="Arial"/>
          <w:b/>
          <w:bCs/>
          <w:sz w:val="32"/>
          <w:szCs w:val="32"/>
        </w:rPr>
        <w:t xml:space="preserve"> 22</w:t>
      </w:r>
      <w:r>
        <w:rPr>
          <w:rFonts w:ascii="Arial" w:cs="Arial" w:hAnsi="Arial"/>
          <w:b/>
          <w:bCs/>
          <w:sz w:val="32"/>
          <w:szCs w:val="32"/>
        </w:rPr>
        <w:t>-Д от 28.11.</w:t>
      </w:r>
      <w:r>
        <w:rPr>
          <w:rFonts w:ascii="Arial" w:cs="Arial" w:hAnsi="Arial"/>
          <w:b/>
          <w:bCs/>
          <w:sz w:val="32"/>
          <w:szCs w:val="32"/>
        </w:rPr>
        <w:t>2024</w:t>
      </w:r>
      <w:r>
        <w:rPr>
          <w:rFonts w:ascii="Arial" w:cs="Arial" w:hAnsi="Arial"/>
          <w:b/>
          <w:bCs/>
          <w:sz w:val="32"/>
          <w:szCs w:val="32"/>
        </w:rPr>
        <w:t xml:space="preserve"> года</w:t>
      </w:r>
    </w:p>
    <w:p w14:paraId="00000007">
      <w:pPr>
        <w:widowControl w:val="off"/>
        <w:jc w:val="center"/>
        <w:rPr>
          <w:rFonts w:ascii="Arial" w:cs="Arial" w:hAnsi="Arial"/>
          <w:b/>
          <w:bCs/>
          <w:sz w:val="32"/>
          <w:szCs w:val="32"/>
        </w:rPr>
      </w:pPr>
      <w:r>
        <w:rPr>
          <w:rFonts w:ascii="Arial" w:cs="Arial" w:hAnsi="Arial"/>
          <w:b/>
          <w:bCs/>
          <w:sz w:val="32"/>
          <w:szCs w:val="32"/>
        </w:rPr>
        <w:t>РОССИЙСКАЯ ФЕДЕРАЦИЯ</w:t>
      </w:r>
    </w:p>
    <w:p w14:paraId="00000008">
      <w:pPr>
        <w:widowControl w:val="off"/>
        <w:jc w:val="center"/>
        <w:rPr>
          <w:rFonts w:ascii="Arial" w:cs="Arial" w:hAnsi="Arial"/>
          <w:b/>
          <w:bCs/>
          <w:sz w:val="32"/>
          <w:szCs w:val="32"/>
        </w:rPr>
      </w:pPr>
      <w:r>
        <w:rPr>
          <w:rFonts w:ascii="Arial" w:cs="Arial" w:hAnsi="Arial"/>
          <w:b/>
          <w:bCs/>
          <w:sz w:val="32"/>
          <w:szCs w:val="32"/>
        </w:rPr>
        <w:t>ИРКУТСКАЯ ОБЛАСТЬ</w:t>
      </w:r>
    </w:p>
    <w:p w14:paraId="00000009">
      <w:pPr>
        <w:widowControl w:val="off"/>
        <w:jc w:val="center"/>
        <w:rPr>
          <w:rFonts w:ascii="Arial" w:cs="Arial" w:hAnsi="Arial"/>
          <w:b/>
          <w:bCs/>
          <w:sz w:val="32"/>
          <w:szCs w:val="32"/>
        </w:rPr>
      </w:pPr>
      <w:r>
        <w:rPr>
          <w:rFonts w:ascii="Arial" w:cs="Arial" w:hAnsi="Arial"/>
          <w:b/>
          <w:bCs/>
          <w:sz w:val="32"/>
          <w:szCs w:val="32"/>
        </w:rPr>
        <w:t>СЛЮДЯНСКИЙ МУНИЦИПАЛЬНЫЙ РАЙОН</w:t>
      </w:r>
    </w:p>
    <w:p w14:paraId="0000000A">
      <w:pPr>
        <w:widowControl w:val="off"/>
        <w:jc w:val="center"/>
        <w:rPr>
          <w:rFonts w:ascii="Arial" w:cs="Arial" w:hAnsi="Arial"/>
          <w:b/>
          <w:bCs/>
          <w:sz w:val="32"/>
          <w:szCs w:val="32"/>
        </w:rPr>
      </w:pPr>
      <w:r>
        <w:rPr>
          <w:rFonts w:ascii="Arial" w:cs="Arial" w:hAnsi="Arial"/>
          <w:b/>
          <w:bCs/>
          <w:sz w:val="32"/>
          <w:szCs w:val="32"/>
        </w:rPr>
        <w:t>ПОРТБАЙКАЛЬСКОЕ СЕЛЬСКОЕ ПОСЕЛЕНИЕ</w:t>
      </w:r>
    </w:p>
    <w:p w14:paraId="0000000B">
      <w:pPr>
        <w:widowControl w:val="off"/>
        <w:jc w:val="center"/>
        <w:rPr>
          <w:rFonts w:ascii="Arial" w:cs="Arial" w:hAnsi="Arial"/>
          <w:b/>
          <w:bCs/>
          <w:sz w:val="32"/>
          <w:szCs w:val="32"/>
        </w:rPr>
      </w:pPr>
      <w:r>
        <w:rPr>
          <w:rFonts w:ascii="Arial" w:cs="Arial" w:hAnsi="Arial"/>
          <w:b/>
          <w:bCs/>
          <w:sz w:val="32"/>
          <w:szCs w:val="32"/>
        </w:rPr>
        <w:t>ДУМА</w:t>
      </w:r>
    </w:p>
    <w:p w14:paraId="0000000C">
      <w:pPr>
        <w:widowControl w:val="off"/>
        <w:jc w:val="center"/>
        <w:rPr>
          <w:b/>
          <w:bCs/>
          <w:sz w:val="28"/>
          <w:szCs w:val="28"/>
        </w:rPr>
      </w:pPr>
      <w:r>
        <w:rPr>
          <w:rFonts w:ascii="Arial" w:cs="Arial" w:hAnsi="Arial"/>
          <w:b/>
          <w:bCs/>
          <w:sz w:val="32"/>
          <w:szCs w:val="32"/>
        </w:rPr>
        <w:t>РЕШЕНИЕ</w:t>
      </w:r>
    </w:p>
    <w:p w14:paraId="0000000D">
      <w:pPr>
        <w:widowControl w:val="off"/>
        <w:jc w:val="center"/>
        <w:rPr>
          <w:b/>
          <w:bCs/>
          <w:sz w:val="28"/>
          <w:szCs w:val="28"/>
        </w:rPr>
      </w:pPr>
    </w:p>
    <w:p w14:paraId="0000000E">
      <w:pPr>
        <w:widowControl w:val="off"/>
        <w:jc w:val="center"/>
        <w:rPr>
          <w:rFonts w:ascii="Arial" w:cs="Arial" w:hAnsi="Arial"/>
          <w:b/>
          <w:bCs/>
          <w:sz w:val="32"/>
          <w:szCs w:val="32"/>
        </w:rPr>
      </w:pPr>
      <w:r>
        <w:rPr>
          <w:rFonts w:ascii="Arial" w:cs="Arial" w:hAnsi="Arial"/>
          <w:b/>
          <w:bCs/>
          <w:sz w:val="32"/>
          <w:szCs w:val="32"/>
        </w:rPr>
        <w:t xml:space="preserve">ОБ УСТАНОВЛЕНИИ И ВВЕДЕНИИ В ДЕЙСТВИЕ НА ТЕРРИТОРИИ </w:t>
      </w:r>
      <w:r>
        <w:rPr>
          <w:rFonts w:ascii="Arial" w:cs="Arial" w:hAnsi="Arial"/>
          <w:b/>
          <w:sz w:val="32"/>
          <w:szCs w:val="32"/>
        </w:rPr>
        <w:t xml:space="preserve">ПОРТБАЙКАЛЬСКОГО </w:t>
      </w:r>
      <w:r>
        <w:rPr>
          <w:rFonts w:ascii="Arial" w:cs="Arial" w:hAnsi="Arial"/>
          <w:b/>
          <w:sz w:val="32"/>
          <w:szCs w:val="32"/>
        </w:rPr>
        <w:br w:type="textWrapping"/>
      </w:r>
      <w:r>
        <w:rPr>
          <w:rFonts w:ascii="Arial" w:cs="Arial" w:hAnsi="Arial"/>
          <w:b/>
          <w:sz w:val="32"/>
          <w:szCs w:val="32"/>
        </w:rPr>
        <w:t>МУНИЦИПАЛЬНОГО ОБРАЗОВАНИЯ</w:t>
      </w:r>
      <w:r>
        <w:rPr>
          <w:rFonts w:ascii="Arial" w:cs="Arial" w:hAnsi="Arial"/>
          <w:b/>
          <w:sz w:val="32"/>
          <w:szCs w:val="32"/>
        </w:rPr>
        <w:t xml:space="preserve"> </w:t>
      </w:r>
      <w:r>
        <w:rPr>
          <w:rFonts w:ascii="Arial" w:cs="Arial" w:hAnsi="Arial"/>
          <w:b/>
          <w:bCs/>
          <w:sz w:val="32"/>
          <w:szCs w:val="32"/>
        </w:rPr>
        <w:t>НАЛОГА НА ИМУЩЕСТВО ФИЗИЧЕСКИХ ЛИЦ</w:t>
      </w:r>
      <w:r>
        <w:rPr>
          <w:rFonts w:ascii="Arial" w:cs="Arial" w:hAnsi="Arial"/>
          <w:b/>
          <w:bCs/>
          <w:sz w:val="32"/>
          <w:szCs w:val="32"/>
        </w:rPr>
        <w:t xml:space="preserve"> НА 202</w:t>
      </w:r>
      <w:r>
        <w:rPr>
          <w:rFonts w:ascii="Arial" w:cs="Arial" w:hAnsi="Arial"/>
          <w:b/>
          <w:bCs/>
          <w:sz w:val="32"/>
          <w:szCs w:val="32"/>
        </w:rPr>
        <w:t>5</w:t>
      </w:r>
      <w:r>
        <w:rPr>
          <w:rFonts w:ascii="Arial" w:cs="Arial" w:hAnsi="Arial"/>
          <w:b/>
          <w:bCs/>
          <w:sz w:val="32"/>
          <w:szCs w:val="32"/>
        </w:rPr>
        <w:t xml:space="preserve"> ГОД</w:t>
      </w:r>
    </w:p>
    <w:p w14:paraId="0000000F">
      <w:pPr>
        <w:widowControl w:val="off"/>
        <w:jc w:val="both"/>
        <w:rPr>
          <w:sz w:val="28"/>
          <w:szCs w:val="28"/>
        </w:rPr>
      </w:pPr>
    </w:p>
    <w:p w14:paraId="00000010">
      <w:pPr>
        <w:widowControl w:val="off"/>
        <w:ind w:firstLine="709"/>
        <w:jc w:val="both"/>
        <w:rPr>
          <w:rFonts w:ascii="Arial" w:cs="Arial" w:hAnsi="Arial"/>
        </w:rPr>
      </w:pPr>
      <w:r>
        <w:rPr>
          <w:rFonts w:ascii="Arial" w:cs="Arial" w:hAnsi="Arial"/>
        </w:rPr>
        <w:t xml:space="preserve">Руководствуясь </w:t>
      </w:r>
      <w:r>
        <w:rPr>
          <w:rFonts w:ascii="Arial" w:cs="Arial" w:hAnsi="Arial"/>
        </w:rPr>
        <w:t>статьёй</w:t>
      </w:r>
      <w:r>
        <w:rPr>
          <w:rFonts w:ascii="Arial" w:cs="Arial" w:hAnsi="Arial"/>
        </w:rPr>
        <w:t xml:space="preserve"> 14</w:t>
      </w:r>
      <w:r>
        <w:rPr>
          <w:rFonts w:ascii="Arial" w:cs="Arial" w:hAnsi="Arial"/>
        </w:rPr>
        <w:t xml:space="preserve"> </w:t>
      </w:r>
      <w:r>
        <w:rPr>
          <w:rFonts w:ascii="Arial" w:cs="Arial" w:hAnsi="Arial"/>
        </w:rPr>
        <w:t xml:space="preserve">Федерального закона от 6 </w:t>
      </w:r>
      <w:r>
        <w:rPr>
          <w:rFonts w:ascii="Arial" w:cs="Arial" w:hAnsi="Arial"/>
        </w:rPr>
        <w:t xml:space="preserve">октября 2003 года </w:t>
      </w:r>
      <w:r>
        <w:rPr>
          <w:rFonts w:ascii="Arial" w:cs="Arial" w:hAnsi="Arial"/>
        </w:rPr>
        <w:t>№</w:t>
      </w:r>
      <w:r>
        <w:rPr>
          <w:rFonts w:ascii="Arial" w:cs="Arial" w:hAnsi="Arial"/>
        </w:rPr>
        <w:t xml:space="preserve">131-ФЗ «Об общих принципах организации местного самоуправления в Российской Федерации», главой 32 Налогового кодекса Российской Федерации, </w:t>
      </w:r>
      <w:r>
        <w:rPr>
          <w:rFonts w:ascii="Arial" w:cs="Arial" w:hAnsi="Arial"/>
        </w:rPr>
        <w:t>Уставом Портбайкальского муниципального образования, Дума Портбайкальского муниципального образования</w:t>
      </w:r>
    </w:p>
    <w:p w14:paraId="00000011">
      <w:pPr>
        <w:widowControl w:val="off"/>
        <w:ind w:firstLine="709"/>
        <w:jc w:val="center"/>
        <w:rPr>
          <w:rFonts w:ascii="Arial" w:cs="Arial" w:hAnsi="Arial"/>
          <w:b/>
          <w:sz w:val="30"/>
          <w:szCs w:val="30"/>
        </w:rPr>
      </w:pPr>
      <w:r>
        <w:rPr>
          <w:rFonts w:ascii="Arial" w:cs="Arial" w:hAnsi="Arial"/>
          <w:b/>
          <w:sz w:val="30"/>
          <w:szCs w:val="30"/>
        </w:rPr>
        <w:t>РЕШИЛА:</w:t>
      </w:r>
      <w:bookmarkStart w:id="0" w:name="_GoBack"/>
      <w:bookmarkEnd w:id="0"/>
    </w:p>
    <w:p w14:paraId="00000012">
      <w:pPr>
        <w:ind w:firstLine="709"/>
        <w:jc w:val="both"/>
        <w:rPr>
          <w:rFonts w:ascii="Arial" w:cs="Arial" w:hAnsi="Arial"/>
          <w:bCs/>
        </w:rPr>
      </w:pPr>
      <w:r>
        <w:rPr>
          <w:rFonts w:ascii="Arial" w:cs="Arial" w:hAnsi="Arial"/>
        </w:rPr>
        <w:t xml:space="preserve">1. Установить и ввести в действие </w:t>
      </w:r>
      <w:r>
        <w:rPr>
          <w:rFonts w:ascii="Arial" w:cs="Arial" w:hAnsi="Arial"/>
          <w:bCs/>
        </w:rPr>
        <w:t xml:space="preserve">на территории </w:t>
      </w:r>
      <w:r>
        <w:rPr>
          <w:rFonts w:ascii="Arial" w:cs="Arial" w:hAnsi="Arial"/>
        </w:rPr>
        <w:t xml:space="preserve">Портбайкальского муниципального образования </w:t>
      </w:r>
      <w:r>
        <w:rPr>
          <w:rFonts w:ascii="Arial" w:cs="Arial" w:hAnsi="Arial"/>
          <w:bCs/>
        </w:rPr>
        <w:t xml:space="preserve">налог </w:t>
      </w:r>
      <w:r>
        <w:rPr>
          <w:rFonts w:ascii="Arial" w:cs="Arial" w:hAnsi="Arial"/>
          <w:bCs/>
        </w:rPr>
        <w:t>на имущество физических лиц</w:t>
      </w:r>
      <w:r>
        <w:rPr>
          <w:rFonts w:ascii="Arial" w:cs="Arial" w:hAnsi="Arial"/>
          <w:bCs/>
        </w:rPr>
        <w:t xml:space="preserve"> на 202</w:t>
      </w:r>
      <w:r>
        <w:rPr>
          <w:rFonts w:ascii="Arial" w:cs="Arial" w:hAnsi="Arial"/>
          <w:bCs/>
        </w:rPr>
        <w:t>5</w:t>
      </w:r>
      <w:r>
        <w:rPr>
          <w:rFonts w:ascii="Arial" w:cs="Arial" w:hAnsi="Arial"/>
          <w:bCs/>
        </w:rPr>
        <w:t xml:space="preserve"> год</w:t>
      </w:r>
      <w:r>
        <w:rPr>
          <w:rFonts w:ascii="Arial" w:cs="Arial" w:hAnsi="Arial"/>
          <w:bCs/>
        </w:rPr>
        <w:t xml:space="preserve">, исчисляемый исходя из </w:t>
      </w:r>
      <w:r>
        <w:rPr>
          <w:rFonts w:ascii="Arial" w:cs="Arial" w:hAnsi="Arial"/>
          <w:bCs/>
        </w:rPr>
        <w:t>кадастровой</w:t>
      </w:r>
      <w:r>
        <w:rPr>
          <w:rFonts w:ascii="Arial" w:cs="Arial" w:hAnsi="Arial"/>
          <w:bCs/>
        </w:rPr>
        <w:t xml:space="preserve"> стоимости</w:t>
      </w:r>
      <w:r>
        <w:rPr>
          <w:rFonts w:ascii="Arial" w:cs="Arial" w:hAnsi="Arial"/>
          <w:bCs/>
        </w:rPr>
        <w:t xml:space="preserve"> объектов налогообложения.</w:t>
      </w:r>
    </w:p>
    <w:p w14:paraId="00000013">
      <w:pPr>
        <w:ind w:firstLine="709"/>
        <w:jc w:val="both"/>
        <w:rPr>
          <w:rFonts w:ascii="Arial" w:cs="Arial" w:hAnsi="Arial"/>
          <w:color w:val="000000"/>
        </w:rPr>
      </w:pPr>
      <w:r>
        <w:rPr>
          <w:rFonts w:ascii="Arial" w:cs="Arial" w:hAnsi="Arial"/>
        </w:rPr>
        <w:t>2</w:t>
      </w:r>
      <w:r>
        <w:rPr>
          <w:rFonts w:ascii="Arial" w:cs="Arial" w:hAnsi="Arial"/>
        </w:rPr>
        <w:t>.</w:t>
      </w:r>
      <w:r>
        <w:rPr>
          <w:rFonts w:ascii="Arial" w:cs="Arial" w:hAnsi="Arial"/>
          <w:color w:val="000000"/>
        </w:rPr>
        <w:t>Установить налоговые ставки налога на имущество физических лиц в следующих размерах:</w:t>
      </w:r>
    </w:p>
    <w:p w14:paraId="00000014">
      <w:pPr>
        <w:widowControl w:val="off"/>
        <w:ind w:firstLine="709"/>
        <w:jc w:val="both"/>
        <w:rPr>
          <w:rFonts w:ascii="Arial" w:cs="Arial" w:hAnsi="Arial"/>
        </w:rPr>
      </w:pPr>
      <w:r>
        <w:rPr>
          <w:rFonts w:ascii="Arial" w:cs="Arial" w:hAnsi="Arial"/>
        </w:rPr>
        <w:t>1) 0,2 процента в отношении:</w:t>
      </w:r>
    </w:p>
    <w:p w14:paraId="00000015">
      <w:pPr>
        <w:widowControl w:val="off"/>
        <w:ind w:firstLine="709"/>
        <w:jc w:val="both"/>
        <w:rPr>
          <w:rFonts w:ascii="Arial" w:cs="Arial" w:hAnsi="Arial"/>
        </w:rPr>
      </w:pPr>
      <w:r>
        <w:rPr>
          <w:rFonts w:ascii="Arial" w:cs="Arial" w:hAnsi="Arial"/>
        </w:rPr>
        <w:t>жилых домов, частей жилых домов, квартир, частей квартир, комнат;</w:t>
      </w:r>
    </w:p>
    <w:p w14:paraId="00000016">
      <w:pPr>
        <w:widowControl w:val="off"/>
        <w:ind w:firstLine="709"/>
        <w:jc w:val="both"/>
        <w:rPr>
          <w:rFonts w:ascii="Arial" w:cs="Arial" w:hAnsi="Arial"/>
        </w:rPr>
      </w:pPr>
      <w:r>
        <w:rPr>
          <w:rFonts w:ascii="Arial" w:cs="Arial" w:hAnsi="Arial"/>
        </w:rPr>
        <w:t>объектов незавершенного строительства в случае, если проектируемым назначением таких объектов является жилой дом;</w:t>
      </w:r>
    </w:p>
    <w:p w14:paraId="00000017">
      <w:pPr>
        <w:ind w:firstLine="709"/>
        <w:jc w:val="both"/>
        <w:rPr>
          <w:rFonts w:ascii="Arial" w:cs="Arial" w:hAnsi="Arial"/>
        </w:rPr>
      </w:pPr>
      <w:r>
        <w:rPr>
          <w:rFonts w:ascii="Arial" w:cs="Arial" w:hAnsi="Arial"/>
        </w:rPr>
        <w:t>единых недвижимых комплексов, в состав которых входит хотя бы один жилой дом;</w:t>
      </w:r>
    </w:p>
    <w:p w14:paraId="00000018">
      <w:pPr>
        <w:ind w:firstLine="709"/>
        <w:jc w:val="both"/>
        <w:rPr>
          <w:rFonts w:ascii="Arial" w:cs="Arial" w:hAnsi="Arial"/>
        </w:rPr>
      </w:pPr>
      <w:r>
        <w:rPr>
          <w:rFonts w:ascii="Arial" w:cs="Arial" w:hAnsi="Arial"/>
        </w:rPr>
        <w:t xml:space="preserve">гаражей и </w:t>
      </w:r>
      <w:r>
        <w:rPr>
          <w:rFonts w:ascii="Arial" w:cs="Arial" w:hAnsi="Arial"/>
        </w:rPr>
        <w:t>машино</w:t>
      </w:r>
      <w:r>
        <w:rPr>
          <w:rFonts w:ascii="Arial" w:cs="Arial" w:hAnsi="Arial"/>
        </w:rPr>
        <w:t xml:space="preserve">-мест, </w:t>
      </w:r>
      <w:r>
        <w:rPr>
          <w:rFonts w:ascii="Arial" w:cs="Arial" w:hAnsi="Arial"/>
        </w:rPr>
        <w:t>в том числе расположенных в объектах налогообложения, указанных в подпункте 2 настоящего пункта;</w:t>
      </w:r>
    </w:p>
    <w:p w14:paraId="00000019">
      <w:pPr>
        <w:widowControl w:val="off"/>
        <w:ind w:firstLine="709"/>
        <w:jc w:val="both"/>
        <w:rPr>
          <w:rFonts w:ascii="Arial" w:cs="Arial" w:hAnsi="Arial"/>
        </w:rPr>
      </w:pPr>
      <w:r>
        <w:rPr>
          <w:rFonts w:ascii="Arial" w:cs="Arial" w:hAnsi="Arial"/>
        </w:rPr>
        <w:t>хозяйственных строений или сооружений, площадь каждого из которых не превышает 50 квадратных метров и которые расположены на земельных участках для ведения личного подсобного хозяйства, огородничества, садоводства или индивиду</w:t>
      </w:r>
      <w:r>
        <w:rPr>
          <w:rFonts w:ascii="Arial" w:cs="Arial" w:hAnsi="Arial"/>
        </w:rPr>
        <w:t>ального жилищного строительства</w:t>
      </w:r>
      <w:r>
        <w:rPr>
          <w:rFonts w:ascii="Arial" w:cs="Arial" w:hAnsi="Arial"/>
        </w:rPr>
        <w:t>;</w:t>
      </w:r>
    </w:p>
    <w:p w14:paraId="0000001A">
      <w:pPr>
        <w:widowControl w:val="off"/>
        <w:ind w:firstLine="709"/>
        <w:jc w:val="both"/>
        <w:rPr>
          <w:rFonts w:ascii="Arial" w:cs="Arial" w:hAnsi="Arial"/>
        </w:rPr>
      </w:pPr>
      <w:r>
        <w:rPr>
          <w:rFonts w:ascii="Arial" w:cs="Arial" w:hAnsi="Arial"/>
        </w:rPr>
        <w:t>2</w:t>
      </w:r>
      <w:r>
        <w:rPr>
          <w:rFonts w:ascii="Arial" w:cs="Arial" w:hAnsi="Arial"/>
        </w:rPr>
        <w:t xml:space="preserve">) </w:t>
      </w:r>
      <w:r>
        <w:rPr>
          <w:rFonts w:ascii="Arial" w:cs="Arial" w:hAnsi="Arial"/>
        </w:rPr>
        <w:t>2 процентов в отношении объектов налогообложения, включенных в перечень, определяемый в соответствии с </w:t>
      </w:r>
      <w:r>
        <w:fldChar w:fldCharType="begin"/>
      </w:r>
      <w:r>
        <w:instrText xml:space="preserve">HYPERLINK "http://ivo.garant.ru/" \l "/document/10900200/entry/37827" </w:instrText>
      </w:r>
      <w:r>
        <w:fldChar w:fldCharType="separate"/>
      </w:r>
      <w:r>
        <w:rPr>
          <w:rStyle w:val="Hyperlink"/>
          <w:rFonts w:ascii="Arial" w:cs="Arial" w:hAnsi="Arial"/>
          <w:color w:val="auto"/>
          <w:u w:val="none"/>
        </w:rPr>
        <w:t>пунктом 7 статьи 378.2</w:t>
      </w:r>
      <w:r>
        <w:fldChar w:fldCharType="end"/>
      </w:r>
      <w:r>
        <w:rPr>
          <w:rFonts w:ascii="Arial" w:cs="Arial" w:hAnsi="Arial"/>
        </w:rPr>
        <w:t> </w:t>
      </w:r>
      <w:r>
        <w:rPr>
          <w:rFonts w:ascii="Arial" w:cs="Arial" w:hAnsi="Arial"/>
        </w:rPr>
        <w:t>Налогового к</w:t>
      </w:r>
      <w:r>
        <w:rPr>
          <w:rFonts w:ascii="Arial" w:cs="Arial" w:hAnsi="Arial"/>
        </w:rPr>
        <w:t>одекса</w:t>
      </w:r>
      <w:r>
        <w:rPr>
          <w:rFonts w:ascii="Arial" w:cs="Arial" w:hAnsi="Arial"/>
        </w:rPr>
        <w:t xml:space="preserve"> Российской Федерации</w:t>
      </w:r>
      <w:r>
        <w:rPr>
          <w:rFonts w:ascii="Arial" w:cs="Arial" w:hAnsi="Arial"/>
        </w:rPr>
        <w:t>, в отношении объектов налогообложения, предусмотренных </w:t>
      </w:r>
      <w:r>
        <w:fldChar w:fldCharType="begin"/>
      </w:r>
      <w:r>
        <w:instrText xml:space="preserve">HYPERLINK "http://ivo.garant.ru/" \l "/document/10900200/entry/3782102" </w:instrText>
      </w:r>
      <w:r>
        <w:fldChar w:fldCharType="separate"/>
      </w:r>
      <w:r>
        <w:rPr>
          <w:rStyle w:val="Hyperlink"/>
          <w:rFonts w:ascii="Arial" w:cs="Arial" w:hAnsi="Arial"/>
          <w:color w:val="auto"/>
          <w:u w:val="none"/>
        </w:rPr>
        <w:t>абзацем вторым пункта 10 статьи 378.2</w:t>
      </w:r>
      <w:r>
        <w:fldChar w:fldCharType="end"/>
      </w:r>
      <w:r>
        <w:rPr>
          <w:rFonts w:ascii="Arial" w:cs="Arial" w:hAnsi="Arial"/>
        </w:rPr>
        <w:t> </w:t>
      </w:r>
      <w:r>
        <w:rPr>
          <w:rFonts w:ascii="Arial" w:cs="Arial" w:hAnsi="Arial"/>
        </w:rPr>
        <w:t>Налогового</w:t>
      </w:r>
      <w:r>
        <w:rPr>
          <w:rFonts w:ascii="Arial" w:cs="Arial" w:hAnsi="Arial"/>
        </w:rPr>
        <w:t xml:space="preserve"> </w:t>
      </w:r>
      <w:r>
        <w:rPr>
          <w:rFonts w:ascii="Arial" w:cs="Arial" w:hAnsi="Arial"/>
        </w:rPr>
        <w:t>к</w:t>
      </w:r>
      <w:r>
        <w:rPr>
          <w:rFonts w:ascii="Arial" w:cs="Arial" w:hAnsi="Arial"/>
        </w:rPr>
        <w:t>одекса</w:t>
      </w:r>
      <w:r>
        <w:rPr>
          <w:rFonts w:ascii="Arial" w:cs="Arial" w:hAnsi="Arial"/>
        </w:rPr>
        <w:t xml:space="preserve"> Российской Федерации</w:t>
      </w:r>
      <w:r>
        <w:rPr>
          <w:rFonts w:ascii="Arial" w:cs="Arial" w:hAnsi="Arial"/>
        </w:rPr>
        <w:t xml:space="preserve">, </w:t>
      </w:r>
    </w:p>
    <w:p w14:paraId="0000001B">
      <w:pPr>
        <w:widowControl w:val="off"/>
        <w:ind w:firstLine="709"/>
        <w:jc w:val="both"/>
        <w:rPr>
          <w:rFonts w:ascii="Arial" w:cs="Arial" w:hAnsi="Arial"/>
          <w:color w:val="ff0000"/>
        </w:rPr>
      </w:pPr>
      <w:r>
        <w:rPr>
          <w:rFonts w:ascii="Arial" w:cs="Arial" w:hAnsi="Arial"/>
        </w:rPr>
        <w:t>3) 2,5 процента в отношении объектов налогообложения, кадастровая стоимость каждого из которых превышает 300 миллионов рублей;</w:t>
      </w:r>
    </w:p>
    <w:p w14:paraId="0000001C">
      <w:pPr>
        <w:widowControl w:val="off"/>
        <w:ind w:firstLine="709"/>
        <w:jc w:val="both"/>
        <w:rPr>
          <w:rFonts w:ascii="Arial" w:cs="Arial" w:hAnsi="Arial"/>
        </w:rPr>
      </w:pPr>
      <w:r>
        <w:rPr>
          <w:rFonts w:ascii="Arial" w:cs="Arial" w:hAnsi="Arial"/>
        </w:rPr>
        <w:t>3) 0,5 проце</w:t>
      </w:r>
      <w:r>
        <w:rPr>
          <w:rFonts w:ascii="Arial" w:cs="Arial" w:hAnsi="Arial"/>
        </w:rPr>
        <w:t xml:space="preserve">нта в отношении прочих объектов </w:t>
      </w:r>
      <w:r>
        <w:rPr>
          <w:rFonts w:ascii="Arial" w:cs="Arial" w:hAnsi="Arial"/>
        </w:rPr>
        <w:t>налогообложения</w:t>
      </w:r>
      <w:r>
        <w:rPr>
          <w:rFonts w:ascii="Arial" w:cs="Arial" w:hAnsi="Arial"/>
        </w:rPr>
        <w:t>.</w:t>
      </w:r>
    </w:p>
    <w:p w14:paraId="0000001D">
      <w:pPr>
        <w:widowControl w:val="off"/>
        <w:ind w:firstLine="709"/>
        <w:jc w:val="both"/>
        <w:rPr>
          <w:rFonts w:ascii="Arial" w:cs="Arial" w:hAnsi="Arial"/>
        </w:rPr>
      </w:pPr>
      <w:r>
        <w:rPr>
          <w:rFonts w:ascii="Arial" w:cs="Arial" w:hAnsi="Arial"/>
        </w:rPr>
        <w:t>3</w:t>
      </w:r>
      <w:r>
        <w:rPr>
          <w:rFonts w:ascii="Arial" w:cs="Arial" w:hAnsi="Arial"/>
        </w:rPr>
        <w:t xml:space="preserve">. Настоящее решение вступает в силу с 1 января </w:t>
      </w:r>
      <w:r>
        <w:rPr>
          <w:rFonts w:ascii="Arial" w:cs="Arial" w:hAnsi="Arial"/>
        </w:rPr>
        <w:t>202</w:t>
      </w:r>
      <w:r>
        <w:rPr>
          <w:rFonts w:ascii="Arial" w:cs="Arial" w:hAnsi="Arial"/>
        </w:rPr>
        <w:t>5</w:t>
      </w:r>
      <w:r>
        <w:rPr>
          <w:rFonts w:ascii="Arial" w:cs="Arial" w:hAnsi="Arial"/>
        </w:rPr>
        <w:t xml:space="preserve"> </w:t>
      </w:r>
      <w:r>
        <w:rPr>
          <w:rFonts w:ascii="Arial" w:cs="Arial" w:hAnsi="Arial"/>
        </w:rPr>
        <w:t>года, но не ранее чем по истечении одного месяца со дня его официального опубликования.</w:t>
      </w:r>
    </w:p>
    <w:p w14:paraId="0000001E">
      <w:pPr>
        <w:widowControl w:val="off"/>
        <w:ind w:firstLine="709"/>
        <w:jc w:val="both"/>
        <w:rPr>
          <w:rFonts w:ascii="Arial" w:cs="Arial" w:hAnsi="Arial"/>
        </w:rPr>
      </w:pPr>
    </w:p>
    <w:p w14:paraId="0000001F">
      <w:pPr>
        <w:widowControl w:val="off"/>
        <w:rPr>
          <w:rFonts w:ascii="Arial" w:cs="Arial" w:hAnsi="Arial"/>
        </w:rPr>
      </w:pPr>
      <w:r>
        <w:rPr>
          <w:rFonts w:ascii="Arial" w:cs="Arial" w:hAnsi="Arial"/>
        </w:rPr>
        <w:t xml:space="preserve">Председатель </w:t>
      </w:r>
      <w:r>
        <w:rPr>
          <w:rFonts w:ascii="Arial" w:cs="Arial" w:hAnsi="Arial"/>
        </w:rPr>
        <w:t>Думы</w:t>
      </w:r>
      <w:r>
        <w:rPr>
          <w:rFonts w:ascii="Arial" w:cs="Arial" w:hAnsi="Arial"/>
        </w:rPr>
        <w:t>,</w:t>
      </w:r>
    </w:p>
    <w:p w14:paraId="00000020">
      <w:pPr>
        <w:widowControl w:val="off"/>
        <w:rPr>
          <w:rFonts w:ascii="Arial" w:cs="Arial" w:hAnsi="Arial"/>
        </w:rPr>
      </w:pPr>
      <w:r>
        <w:rPr>
          <w:rFonts w:ascii="Arial" w:cs="Arial" w:hAnsi="Arial"/>
        </w:rPr>
        <w:t>Глава</w:t>
      </w:r>
      <w:r>
        <w:rPr>
          <w:rFonts w:ascii="Arial" w:cs="Arial" w:hAnsi="Arial"/>
        </w:rPr>
        <w:t xml:space="preserve"> Портбайкальского муниципального образования</w:t>
      </w:r>
    </w:p>
    <w:p w14:paraId="00000021">
      <w:pPr>
        <w:widowControl w:val="off"/>
        <w:rPr>
          <w:rFonts w:ascii="Arial" w:cs="Arial" w:hAnsi="Arial"/>
        </w:rPr>
      </w:pPr>
      <w:r>
        <w:rPr>
          <w:rFonts w:ascii="Arial" w:cs="Arial" w:hAnsi="Arial"/>
        </w:rPr>
        <w:t>Н.И. Симакова</w:t>
      </w:r>
    </w:p>
    <w:sectPr>
      <w:headerReference w:type="first" r:id="rId14"/>
      <w:pgSz w:w="11906" w:h="16838"/>
      <w:pgMar w:top="-97" w:right="851" w:bottom="1134" w:left="1701" w:header="709" w:footer="709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endnote w:type="separator" w:id="0">
    <w:p w14:paraId="00000003">
      <w:r>
        <w:rPr/>
        <w:separator/>
      </w:r>
    </w:p>
  </w:endnote>
  <w:endnote w:type="continuationSeparator" w:id="1">
    <w:p w14:paraId="00000004">
      <w:r>
        <w:rPr/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00000000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Tahoma">
    <w:panose1 w:val="020b0604030504040204"/>
    <w:charset w:val="cc"/>
    <w:family w:val="swiss"/>
    <w:pitch w:val="variable"/>
    <w:sig w:usb0="00000000" w:usb1="00000000" w:usb2="00000029" w:usb3="00000000" w:csb0="000101ff" w:csb1="00000000"/>
  </w:font>
  <w:font w:name="Arial">
    <w:panose1 w:val="020b0604020202020204"/>
    <w:charset w:val="cc"/>
    <w:family w:val="swiss"/>
    <w:pitch w:val="variable"/>
    <w:sig w:usb0="00000000" w:usb1="00000000" w:usb2="00000009" w:usb3="00000000" w:csb0="000001ff" w:csb1="00000000"/>
  </w:font>
  <w:font w:name="Cambria">
    <w:panose1 w:val="02040503050406030204"/>
    <w:charset w:val="cc"/>
    <w:family w:val="roman"/>
    <w:pitch w:val="variable"/>
    <w:sig w:usb0="00000000" w:usb1="400004ff" w:usb2="00000000" w:usb3="00000000" w:csb0="0000019f" w:csb1="00000000"/>
  </w:font>
  <w:font w:name="Courier New">
    <w:panose1 w:val="02070309020205020404"/>
    <w:charset w:val="00"/>
    <w:family w:val="modern"/>
    <w:pitch w:val="fixed"/>
    <w:sig w:usb0="00000000" w:usb1="00000000" w:usb2="00000009" w:usb3="00000000" w:csb0="000001ff" w:csb1="00000000"/>
  </w:font>
  <w:font w:name="Verdana">
    <w:panose1 w:val="020b0604030504040204"/>
    <w:charset w:val="00"/>
    <w:family w:val="roman"/>
    <w:pitch w:val="variable"/>
    <w:sig w:usb0="00000000" w:usb1="4000205b" w:usb2="00000010" w:usb3="00000000" w:csb0="0000019f" w:csb1="00000000"/>
  </w:font>
  <w:font w:name="Symbol">
    <w:panose1 w:val="05050102010706020507"/>
    <w:charset w:val="02"/>
    <w:family w:val="roman"/>
    <w:notTrueType w:val="on"/>
    <w:pitch w:val="variable"/>
  </w:font>
  <w:font w:name="Wingdings">
    <w:panose1 w:val="05000000000000000000"/>
    <w:charset w:val="02"/>
    <w:family w:val="auto"/>
    <w:notTrueType w:val="on"/>
    <w:pitch w:val="variable"/>
  </w:font>
  <w:font w:name="Helvetica Neue">
    <w:charset w:val="00"/>
    <w:family w:val="swiss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footnote w:type="separator" w:id="0">
    <w:p w14:paraId="00000001">
      <w:r>
        <w:rPr/>
        <w:separator/>
      </w:r>
    </w:p>
  </w:footnote>
  <w:footnote w:type="continuationSeparator" w:id="1">
    <w:p w14:paraId="00000002">
      <w:r>
        <w:rPr/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p w14:paraId="00000022">
    <w:pPr>
      <w:pStyle w:val="Header"/>
      <w:jc w:val="right"/>
      <w:rPr>
        <w:i/>
      </w:rPr>
    </w:pP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ne="http://schemas.microsoft.com/office/word/2006/wordml" xmlns:w14="http://schemas.microsoft.com/office/word/2010/wordml" xmlns:w="http://schemas.openxmlformats.org/wordprocessingml/2006/main">
  <w:abstractNum w:abstractNumId="0">
    <w:multiLevelType w:val="hybridMultilevel"/>
    <w:lvl w:ilvl="0" w:tentative="0">
      <w:start w:val="1"/>
      <w:numFmt w:val="decimal"/>
      <w:lvlText w:val="%1."/>
      <w:lvlJc w:val="left"/>
      <w:pPr>
        <w:ind w:left="855" w:hanging="495"/>
      </w:p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27D"/>
    <w:rsid w:val="00021135"/>
    <w:rsid w:val="000264A7"/>
    <w:rsid w:val="000474CA"/>
    <w:rsid w:val="0006396B"/>
    <w:rsid w:val="00066DDF"/>
    <w:rsid w:val="00084CA0"/>
    <w:rsid w:val="000D2895"/>
    <w:rsid w:val="000E0EDA"/>
    <w:rsid w:val="000E3F35"/>
    <w:rsid w:val="000E4552"/>
    <w:rsid w:val="00104736"/>
    <w:rsid w:val="00112B2B"/>
    <w:rsid w:val="00137D87"/>
    <w:rsid w:val="00180601"/>
    <w:rsid w:val="00181F76"/>
    <w:rsid w:val="00187A27"/>
    <w:rsid w:val="001975BE"/>
    <w:rsid w:val="001B1680"/>
    <w:rsid w:val="001F2F5E"/>
    <w:rsid w:val="001F7395"/>
    <w:rsid w:val="001F7527"/>
    <w:rsid w:val="002002ED"/>
    <w:rsid w:val="002059B7"/>
    <w:rsid w:val="00216CD9"/>
    <w:rsid w:val="00220D36"/>
    <w:rsid w:val="002462CF"/>
    <w:rsid w:val="00267424"/>
    <w:rsid w:val="00284D5B"/>
    <w:rsid w:val="002A77A0"/>
    <w:rsid w:val="002B25C2"/>
    <w:rsid w:val="002C146E"/>
    <w:rsid w:val="002D5C1E"/>
    <w:rsid w:val="002E2940"/>
    <w:rsid w:val="002F23D2"/>
    <w:rsid w:val="003059C8"/>
    <w:rsid w:val="00336040"/>
    <w:rsid w:val="00392EE3"/>
    <w:rsid w:val="003C3F56"/>
    <w:rsid w:val="003C55C6"/>
    <w:rsid w:val="003E5402"/>
    <w:rsid w:val="003F322B"/>
    <w:rsid w:val="0040758C"/>
    <w:rsid w:val="004168AF"/>
    <w:rsid w:val="00421788"/>
    <w:rsid w:val="00433210"/>
    <w:rsid w:val="004643CF"/>
    <w:rsid w:val="00490A97"/>
    <w:rsid w:val="004A7097"/>
    <w:rsid w:val="004A7CD3"/>
    <w:rsid w:val="004D3303"/>
    <w:rsid w:val="005000A9"/>
    <w:rsid w:val="00546C2D"/>
    <w:rsid w:val="0055152A"/>
    <w:rsid w:val="00596E50"/>
    <w:rsid w:val="005A664E"/>
    <w:rsid w:val="005B3663"/>
    <w:rsid w:val="005C0BE0"/>
    <w:rsid w:val="005E5647"/>
    <w:rsid w:val="005F5DA1"/>
    <w:rsid w:val="00617047"/>
    <w:rsid w:val="0062625B"/>
    <w:rsid w:val="00651644"/>
    <w:rsid w:val="00672F18"/>
    <w:rsid w:val="006824C9"/>
    <w:rsid w:val="00696542"/>
    <w:rsid w:val="006E04BD"/>
    <w:rsid w:val="007013AF"/>
    <w:rsid w:val="007815AE"/>
    <w:rsid w:val="00781C0F"/>
    <w:rsid w:val="00786BAD"/>
    <w:rsid w:val="00791521"/>
    <w:rsid w:val="007A2795"/>
    <w:rsid w:val="007B06A9"/>
    <w:rsid w:val="007D211F"/>
    <w:rsid w:val="007D478F"/>
    <w:rsid w:val="007E0D86"/>
    <w:rsid w:val="007E4913"/>
    <w:rsid w:val="00813C7B"/>
    <w:rsid w:val="00861516"/>
    <w:rsid w:val="00862B48"/>
    <w:rsid w:val="00876768"/>
    <w:rsid w:val="00892457"/>
    <w:rsid w:val="008A48F4"/>
    <w:rsid w:val="008C6113"/>
    <w:rsid w:val="008D7F0E"/>
    <w:rsid w:val="008F33D5"/>
    <w:rsid w:val="008F36EE"/>
    <w:rsid w:val="008F7490"/>
    <w:rsid w:val="00912D58"/>
    <w:rsid w:val="009437F0"/>
    <w:rsid w:val="00950260"/>
    <w:rsid w:val="00950AC0"/>
    <w:rsid w:val="00961235"/>
    <w:rsid w:val="009B2529"/>
    <w:rsid w:val="009D27B1"/>
    <w:rsid w:val="009D630E"/>
    <w:rsid w:val="00A336F8"/>
    <w:rsid w:val="00A73A02"/>
    <w:rsid w:val="00A812B8"/>
    <w:rsid w:val="00A84AB1"/>
    <w:rsid w:val="00AA0F7F"/>
    <w:rsid w:val="00AC61C1"/>
    <w:rsid w:val="00AD4856"/>
    <w:rsid w:val="00AD4C70"/>
    <w:rsid w:val="00AD69C0"/>
    <w:rsid w:val="00B07559"/>
    <w:rsid w:val="00B335A5"/>
    <w:rsid w:val="00B5462B"/>
    <w:rsid w:val="00B61BA9"/>
    <w:rsid w:val="00B6693D"/>
    <w:rsid w:val="00B67C70"/>
    <w:rsid w:val="00B97E11"/>
    <w:rsid w:val="00BC7CB2"/>
    <w:rsid w:val="00BC7E8B"/>
    <w:rsid w:val="00BE3180"/>
    <w:rsid w:val="00BE713A"/>
    <w:rsid w:val="00BF56A7"/>
    <w:rsid w:val="00C022AE"/>
    <w:rsid w:val="00C40B5C"/>
    <w:rsid w:val="00C4300D"/>
    <w:rsid w:val="00C45352"/>
    <w:rsid w:val="00C53A48"/>
    <w:rsid w:val="00C561C6"/>
    <w:rsid w:val="00C637AF"/>
    <w:rsid w:val="00C66BAB"/>
    <w:rsid w:val="00C7036B"/>
    <w:rsid w:val="00C76564"/>
    <w:rsid w:val="00C76672"/>
    <w:rsid w:val="00C76BE1"/>
    <w:rsid w:val="00C8010A"/>
    <w:rsid w:val="00C80FE6"/>
    <w:rsid w:val="00C82A6F"/>
    <w:rsid w:val="00C962A0"/>
    <w:rsid w:val="00CE0ECB"/>
    <w:rsid w:val="00CF5314"/>
    <w:rsid w:val="00D010A4"/>
    <w:rsid w:val="00D04D47"/>
    <w:rsid w:val="00D654A1"/>
    <w:rsid w:val="00D70FBC"/>
    <w:rsid w:val="00D86040"/>
    <w:rsid w:val="00D86524"/>
    <w:rsid w:val="00DB18E3"/>
    <w:rsid w:val="00DB4BDD"/>
    <w:rsid w:val="00DB6B58"/>
    <w:rsid w:val="00DE3D19"/>
    <w:rsid w:val="00DE6023"/>
    <w:rsid w:val="00DF313C"/>
    <w:rsid w:val="00DF4733"/>
    <w:rsid w:val="00E32DF5"/>
    <w:rsid w:val="00E5410E"/>
    <w:rsid w:val="00E654A2"/>
    <w:rsid w:val="00E67A20"/>
    <w:rsid w:val="00E81AFB"/>
    <w:rsid w:val="00E821A9"/>
    <w:rsid w:val="00E82B6F"/>
    <w:rsid w:val="00E958FF"/>
    <w:rsid w:val="00EF327D"/>
    <w:rsid w:val="00F04F7E"/>
    <w:rsid w:val="00F14D06"/>
    <w:rsid w:val="00F4251F"/>
    <w:rsid w:val="00F4296D"/>
    <w:rsid w:val="00F442AF"/>
    <w:rsid w:val="00F54A74"/>
    <w:rsid w:val="00F73432"/>
    <w:rsid w:val="00F738D6"/>
    <w:rsid w:val="00F802CE"/>
    <w:rsid w:val="00FA542E"/>
    <w:rsid w:val="00FA740F"/>
    <w:rsid w:val="00FC24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F221A5"/>
  <w15:docId w15:val="{F12EB1D4-950E-4336-A09A-32C8EBD4DD9F}"/>
  <w:footnotePr>
    <w:footnote w:id="0"/>
    <w:footnote w:id="1"/>
  </w:footnotePr>
  <w:endnotePr>
    <w:endnote w:id="0"/>
    <w:endnote w:id="1"/>
  </w:endnotePr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Theme="minorHAnsi" w:cstheme="minorBidi" w:eastAsiaTheme="minorHAnsi" w:hAnsiTheme="minorHAnsi"/>
        <w:sz w:val="22"/>
        <w:szCs w:val="22"/>
        <w:lang w:val="ru-RU" w:bidi="ar-SA" w:eastAsia="en-US"/>
      </w:rPr>
    </w:rPrDefault>
    <w:pPrDefault>
      <w:pPr>
        <w:spacing w:after="200" w:line="276" w:lineRule="auto"/>
      </w:pPr>
    </w:pPrDefault>
  </w:docDefaults>
  <w:style w:type="paragraph" w:styleId="Heading1">
    <w:name w:val="Heading 1"/>
    <w:link w:val="Heading1Char"/>
    <w:uiPriority w:val="9"/>
    <w:qFormat w:val="on"/>
    <w:pPr>
      <w:keepNext w:val="on"/>
      <w:keepLines w:val="on"/>
      <w:spacing w:before="480" w:after="0"/>
    </w:pPr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paragraph" w:styleId="Heading2">
    <w:name w:val="Heading 2"/>
    <w:link w:val="Heading2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paragraph" w:styleId="Heading3">
    <w:name w:val="Heading 3"/>
    <w:link w:val="Heading3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</w:rPr>
  </w:style>
  <w:style w:type="paragraph" w:styleId="Heading4">
    <w:name w:val="Heading 4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paragraph" w:styleId="Heading5">
    <w:name w:val="Heading 5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243f60" w:themeColor="accent1" w:themeShade="7f"/>
    </w:rPr>
  </w:style>
  <w:style w:type="paragraph" w:styleId="Heading6">
    <w:name w:val="Heading 6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paragraph" w:styleId="Heading7">
    <w:name w:val="Heading 7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NoSpacing">
    <w:name w:val="No Spacing"/>
    <w:uiPriority w:val="1"/>
    <w:qFormat w:val="on"/>
    <w:pPr>
      <w:spacing w:after="0" w:line="240" w:lineRule="auto"/>
    </w:pPr>
  </w:style>
  <w:style w:type="character" w:customStyle="1" w:styleId="Heading1Char">
    <w:name w:val="Heading 1 Char"/>
    <w:link w:val="Heading1"/>
    <w:uiPriority w:val="9"/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rPr>
      <w:rFonts w:asciiTheme="majorHAnsi" w:cstheme="majorBidi" w:eastAsiaTheme="majorEastAsia" w:hAnsiTheme="majorHAnsi"/>
      <w:b/>
      <w:bCs/>
      <w:color w:val="4f81bd" w:themeColor="accent1"/>
    </w:rPr>
  </w:style>
  <w:style w:type="character" w:customStyle="1" w:styleId="Heading4Char">
    <w:name w:val="Heading 4 Char"/>
    <w:link w:val="Heading4"/>
    <w:uiPriority w:val="9"/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character" w:customStyle="1" w:styleId="Heading5Char">
    <w:name w:val="Heading 5 Char"/>
    <w:link w:val="Heading5"/>
    <w:uiPriority w:val="9"/>
    <w:rPr>
      <w:rFonts w:asciiTheme="majorHAnsi" w:cstheme="majorBidi" w:eastAsiaTheme="majorEastAsia" w:hAnsiTheme="majorHAnsi"/>
      <w:color w:val="243f60" w:themeColor="accent1" w:themeShade="7f"/>
    </w:rPr>
  </w:style>
  <w:style w:type="character" w:customStyle="1" w:styleId="Heading6Char">
    <w:name w:val="Heading 6 Char"/>
    <w:link w:val="Heading6"/>
    <w:uiPriority w:val="9"/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link w:val="TitleChar"/>
    <w:uiPriority w:val="10"/>
    <w:qFormat w:val="on"/>
    <w:pPr>
      <w:pBdr>
        <w:bottom w:val="single" w:color="4f81bd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paragraph" w:styleId="Subtitle">
    <w:name w:val="Subtitle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uiPriority w:val="20"/>
    <w:qFormat w:val="on"/>
    <w:rPr>
      <w:i/>
      <w:iCs/>
    </w:rPr>
  </w:style>
  <w:style w:type="character" w:styleId="IntenseEmphasis">
    <w:name w:val="Intense Emphasis"/>
    <w:uiPriority w:val="21"/>
    <w:qFormat w:val="on"/>
    <w:rPr>
      <w:b/>
      <w:bCs/>
      <w:i/>
      <w:iCs/>
      <w:color w:val="4f81bd" w:themeColor="accent1"/>
    </w:rPr>
  </w:style>
  <w:style w:type="character" w:styleId="Strong">
    <w:name w:val="Strong"/>
    <w:uiPriority w:val="22"/>
    <w:qFormat w:val="on"/>
    <w:rPr>
      <w:b/>
      <w:bCs/>
    </w:rPr>
  </w:style>
  <w:style w:type="paragraph" w:styleId="Quote">
    <w:name w:val="Quote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IntenseQuoteChar"/>
    <w:uiPriority w:val="30"/>
    <w:qFormat w:val="on"/>
    <w:pPr>
      <w:pBdr>
        <w:bottom w:val="single" w:color="4f81bd" w:themeColor="accent1" w:sz="4" w:space="4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4f81bd" w:themeColor="accent1"/>
    </w:rPr>
  </w:style>
  <w:style w:type="character" w:styleId="SubtleReference">
    <w:name w:val="Subtle Reference"/>
    <w:uiPriority w:val="31"/>
    <w:qFormat w:val="on"/>
    <w:rPr>
      <w:smallCaps/>
      <w:color w:val="c0504d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character" w:customStyle="1" w:styleId="FootnoteTextChar">
    <w:name w:val="Footnote Text Char"/>
    <w:uiPriority w:val="99"/>
    <w:semiHidden w:val="on"/>
    <w:rPr>
      <w:sz w:val="20"/>
      <w:szCs w:val="20"/>
    </w:rPr>
  </w:style>
  <w:style w:type="paragraph" w:styleId="Endnotetext">
    <w:name w:val="Endnote text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paragraph" w:styleId="PlainText">
    <w:name w:val="Plain Text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character" w:customStyle="1" w:styleId="HeaderChar">
    <w:name w:val="Header Char"/>
    <w:uiPriority w:val="99"/>
  </w:style>
  <w:style w:type="character" w:customStyle="1" w:styleId="FooterChar">
    <w:name w:val="Footer Char"/>
    <w:uiPriority w:val="99"/>
  </w:style>
  <w:style w:type="paragraph" w:styleId="Caption">
    <w:name w:val="Caption"/>
    <w:uiPriority w:val="35"/>
    <w:unhideWhenUsed w:val="on"/>
    <w:qFormat w:val="on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default="1" w:styleId="Normal">
    <w:name w:val="Normal"/>
    <w:uiPriority w:val="99"/>
    <w:qFormat w:val="on"/>
    <w:pPr>
      <w:spacing w:after="0" w:line="240" w:lineRule="auto"/>
    </w:pPr>
    <w:rPr>
      <w:rFonts w:ascii="Times New Roman" w:cs="Times New Roman" w:eastAsia="Times New Roman" w:hAnsi="Times New Roman"/>
      <w:sz w:val="24"/>
      <w:szCs w:val="24"/>
      <w:lang w:eastAsia="ru-RU"/>
    </w:rPr>
  </w:style>
  <w:style w:type="character" w:default="1" w:styleId="DefaultParagraphFont">
    <w:name w:val="Default Paragraph Font"/>
    <w:uiPriority w:val="1"/>
    <w:semiHidden w:val="on"/>
    <w:unhideWhenUsed w:val="on"/>
  </w:style>
  <w:style w:type="table" w:default="1" w:styleId="NormalTable">
    <w:name w:val="Normal Table"/>
    <w:uiPriority w:val="99"/>
    <w:semiHidden w:val="on"/>
    <w:unhideWhenUsed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  <w:style w:type="character" w:styleId="Hyperlink">
    <w:name w:val="Hyperlink"/>
    <w:basedOn w:val="DefaultParagraphFont"/>
    <w:uiPriority w:val="99"/>
    <w:unhideWhenUsed w:val="on"/>
    <w:rPr>
      <w:color w:val="0000ff" w:themeColor="hyperlink"/>
      <w:u w:val="single"/>
    </w:rPr>
  </w:style>
  <w:style w:type="paragraph" w:styleId="Footnotetext">
    <w:name w:val="Footnote text"/>
    <w:basedOn w:val="Normal"/>
    <w:link w:val="ТекстсноскиЗнак"/>
    <w:uiPriority w:val="99"/>
    <w:unhideWhenUsed w:val="on"/>
    <w:rPr>
      <w:sz w:val="20"/>
      <w:szCs w:val="20"/>
    </w:rPr>
  </w:style>
  <w:style w:type="character" w:customStyle="1" w:styleId="ТекстсноскиЗнак">
    <w:name w:val="Текст сноски Знак"/>
    <w:basedOn w:val="DefaultParagraphFont"/>
    <w:link w:val="Footnotetext"/>
    <w:uiPriority w:val="99"/>
    <w:rPr>
      <w:rFonts w:ascii="Times New Roman" w:cs="Times New Roman" w:eastAsia="Times New Roman" w:hAnsi="Times New Roman"/>
      <w:sz w:val="20"/>
      <w:szCs w:val="20"/>
      <w:lang w:eastAsia="ru-RU"/>
    </w:rPr>
  </w:style>
  <w:style w:type="paragraph" w:customStyle="1" w:styleId="ConsPlusNormal">
    <w:name w:val="ConsPlusNormal"/>
    <w:uiPriority w:val="99"/>
    <w:pPr>
      <w:spacing w:after="0" w:line="240" w:lineRule="auto"/>
    </w:pPr>
    <w:rPr>
      <w:rFonts w:ascii="Times New Roman" w:cs="Times New Roman" w:eastAsia="Times New Roman" w:hAnsi="Times New Roman"/>
      <w:sz w:val="20"/>
      <w:szCs w:val="20"/>
      <w:lang w:eastAsia="ru-RU"/>
    </w:rPr>
  </w:style>
  <w:style w:type="character" w:styleId="Footnotereference">
    <w:name w:val="Footnote reference"/>
    <w:uiPriority w:val="99"/>
    <w:semiHidden w:val="on"/>
    <w:unhideWhenUsed w:val="on"/>
    <w:rPr>
      <w:vertAlign w:val="superscript"/>
    </w:rPr>
  </w:style>
  <w:style w:type="paragraph" w:styleId="ListParagraph">
    <w:name w:val="List Paragraph"/>
    <w:basedOn w:val="Normal"/>
    <w:uiPriority w:val="34"/>
    <w:qFormat w:val="on"/>
    <w:pPr>
      <w:spacing w:after="200" w:line="276" w:lineRule="auto"/>
      <w:ind w:left="720"/>
      <w:contextualSpacing w:val="on"/>
    </w:pPr>
    <w:rPr>
      <w:rFonts w:ascii="Calibri" w:eastAsia="Calibri" w:hAnsi="Calibri"/>
      <w:sz w:val="22"/>
      <w:szCs w:val="22"/>
      <w:lang w:eastAsia="en-US"/>
    </w:rPr>
  </w:style>
  <w:style w:type="paragraph" w:styleId="BalloonText">
    <w:name w:val="Balloon Text"/>
    <w:basedOn w:val="Normal"/>
    <w:link w:val="ТекствыноскиЗнак"/>
    <w:uiPriority w:val="99"/>
    <w:semiHidden w:val="on"/>
    <w:unhideWhenUsed w:val="on"/>
    <w:rPr>
      <w:rFonts w:ascii="Tahoma" w:cs="Tahoma" w:hAnsi="Tahoma"/>
      <w:sz w:val="16"/>
      <w:szCs w:val="16"/>
    </w:rPr>
  </w:style>
  <w:style w:type="character" w:customStyle="1" w:styleId="ТекствыноскиЗнак">
    <w:name w:val="Текст выноски Знак"/>
    <w:basedOn w:val="DefaultParagraphFont"/>
    <w:link w:val="BalloonText"/>
    <w:uiPriority w:val="99"/>
    <w:semiHidden w:val="on"/>
    <w:rPr>
      <w:rFonts w:ascii="Tahoma" w:cs="Tahoma" w:eastAsia="Times New Roman" w:hAnsi="Tahoma"/>
      <w:sz w:val="16"/>
      <w:szCs w:val="16"/>
      <w:lang w:eastAsia="ru-RU"/>
    </w:rPr>
  </w:style>
  <w:style w:type="paragraph" w:styleId="Header">
    <w:name w:val="Header"/>
    <w:basedOn w:val="Normal"/>
    <w:link w:val="ВерхнийколонтитулЗнак"/>
    <w:uiPriority w:val="99"/>
    <w:unhideWhenUsed w:val="on"/>
    <w:pPr>
      <w:tabs>
        <w:tab w:val="center" w:pos="4677"/>
        <w:tab w:val="right" w:pos="9355"/>
      </w:tabs>
    </w:pPr>
  </w:style>
  <w:style w:type="character" w:customStyle="1" w:styleId="ВерхнийколонтитулЗнак">
    <w:name w:val="Верхний колонтитул Знак"/>
    <w:basedOn w:val="DefaultParagraphFont"/>
    <w:link w:val="Header"/>
    <w:uiPriority w:val="99"/>
    <w:rPr>
      <w:rFonts w:ascii="Times New Roman" w:cs="Times New Roman" w:eastAsia="Times New Roman" w:hAnsi="Times New Roman"/>
      <w:sz w:val="24"/>
      <w:szCs w:val="24"/>
      <w:lang w:eastAsia="ru-RU"/>
    </w:rPr>
  </w:style>
  <w:style w:type="paragraph" w:styleId="Footer">
    <w:name w:val="Footer"/>
    <w:basedOn w:val="Normal"/>
    <w:link w:val="НижнийколонтитулЗнак"/>
    <w:uiPriority w:val="99"/>
    <w:unhideWhenUsed w:val="on"/>
    <w:pPr>
      <w:tabs>
        <w:tab w:val="center" w:pos="4677"/>
        <w:tab w:val="right" w:pos="9355"/>
      </w:tabs>
    </w:pPr>
  </w:style>
  <w:style w:type="character" w:customStyle="1" w:styleId="НижнийколонтитулЗнак">
    <w:name w:val="Нижний колонтитул Знак"/>
    <w:basedOn w:val="DefaultParagraphFont"/>
    <w:link w:val="Footer"/>
    <w:uiPriority w:val="99"/>
    <w:rPr>
      <w:rFonts w:ascii="Times New Roman" w:cs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319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96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55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07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27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8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8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4" Type="http://schemas.openxmlformats.org/officeDocument/2006/relationships/header" Target="header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1" Type="http://schemas.openxmlformats.org/officeDocument/2006/relationships/customXml" Target="../customXml/item1.xml"/><Relationship Id="rId5" Type="http://schemas.openxmlformats.org/officeDocument/2006/relationships/webSettings" Target="webSettings.xml"/><Relationship Id="rId8" Type="http://schemas.openxmlformats.org/officeDocument/2006/relationships/hyperlink" Target="http://ivo.garant.ru/" TargetMode="External"/><Relationship Id="rId9" Type="http://schemas.openxmlformats.org/officeDocument/2006/relationships/hyperlink" Target="http://ivo.garant.ru/" TargetMode="External"/></Relationships>
</file>

<file path=word/_rels/endnotes.xml.rels><?xml version="1.0" encoding="UTF-8" standalone="yes"?>
<Relationships xmlns="http://schemas.openxmlformats.org/package/2006/relationships"></Relationships>
</file>

<file path=word/_rels/footnotes.xml.rels><?xml version="1.0" encoding="UTF-8" standalone="yes"?>
<Relationships xmlns="http://schemas.openxmlformats.org/package/2006/relationships"></Relationships>
</file>

<file path=word/_rels/header1.xml.rels><?xml version="1.0" encoding="UTF-8" standalone="yes"?>
<Relationships xmlns="http://schemas.openxmlformats.org/package/2006/relationships"></Relationships>
</file>

<file path=word/_rels/numbering.xml.rels><?xml version="1.0" encoding="UTF-8" standalone="yes"?>
<Relationships xmlns="http://schemas.openxmlformats.org/package/2006/relationships"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D0FFF3-5D00-4416-8979-E0882A594B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363</Words>
  <Characters>2070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Алёна Александровна Соломина</dc:creator>
  <cp:lastModifiedBy>Надежда</cp:lastModifiedBy>
</cp:coreProperties>
</file>