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6CC" w:rsidRDefault="003E0C1C" w:rsidP="003E0C1C">
      <w:pPr>
        <w:pStyle w:val="ConsPlusNormal"/>
        <w:tabs>
          <w:tab w:val="left" w:pos="5529"/>
        </w:tabs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76259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6CC" w:rsidRDefault="003E0C1C" w:rsidP="003E0C1C">
      <w:pPr>
        <w:pStyle w:val="ConsPlusNormal"/>
        <w:ind w:left="552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E0C1C">
        <w:rPr>
          <w:rFonts w:ascii="Times New Roman" w:hAnsi="Times New Roman" w:cs="Times New Roman"/>
          <w:sz w:val="28"/>
          <w:szCs w:val="28"/>
        </w:rPr>
        <w:t>решению  Думы Слюдянского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1C">
        <w:rPr>
          <w:rFonts w:ascii="Times New Roman" w:hAnsi="Times New Roman" w:cs="Times New Roman"/>
          <w:sz w:val="28"/>
          <w:szCs w:val="28"/>
        </w:rPr>
        <w:t>"О бюджете Слюдянского муниципального района на 2022 год и плановый период 2023 и 2024 годов"</w:t>
      </w:r>
    </w:p>
    <w:p w:rsidR="003E0C1C" w:rsidRDefault="003E0C1C" w:rsidP="003E0C1C">
      <w:pPr>
        <w:pStyle w:val="ConsPlusNormal"/>
        <w:ind w:left="552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E0C1C">
        <w:rPr>
          <w:rFonts w:ascii="Times New Roman" w:hAnsi="Times New Roman" w:cs="Times New Roman"/>
          <w:sz w:val="28"/>
          <w:szCs w:val="28"/>
        </w:rPr>
        <w:t>от</w:t>
      </w:r>
      <w:r w:rsidR="008D235A">
        <w:rPr>
          <w:rFonts w:ascii="Times New Roman" w:hAnsi="Times New Roman" w:cs="Times New Roman"/>
          <w:sz w:val="28"/>
          <w:szCs w:val="28"/>
        </w:rPr>
        <w:t xml:space="preserve"> 20</w:t>
      </w:r>
      <w:r w:rsidRPr="003E0C1C">
        <w:rPr>
          <w:rFonts w:ascii="Times New Roman" w:hAnsi="Times New Roman" w:cs="Times New Roman"/>
          <w:sz w:val="28"/>
          <w:szCs w:val="28"/>
        </w:rPr>
        <w:t>.</w:t>
      </w:r>
      <w:r w:rsidR="008D235A">
        <w:rPr>
          <w:rFonts w:ascii="Times New Roman" w:hAnsi="Times New Roman" w:cs="Times New Roman"/>
          <w:sz w:val="28"/>
          <w:szCs w:val="28"/>
        </w:rPr>
        <w:t>12</w:t>
      </w:r>
      <w:r w:rsidRPr="003E0C1C">
        <w:rPr>
          <w:rFonts w:ascii="Times New Roman" w:hAnsi="Times New Roman" w:cs="Times New Roman"/>
          <w:sz w:val="28"/>
          <w:szCs w:val="28"/>
        </w:rPr>
        <w:t>.2021 г. №</w:t>
      </w:r>
      <w:r w:rsidR="008D235A">
        <w:rPr>
          <w:rFonts w:ascii="Times New Roman" w:hAnsi="Times New Roman" w:cs="Times New Roman"/>
          <w:sz w:val="28"/>
          <w:szCs w:val="28"/>
        </w:rPr>
        <w:t xml:space="preserve"> 77</w:t>
      </w:r>
      <w:r w:rsidRPr="003E0C1C">
        <w:rPr>
          <w:rFonts w:ascii="Times New Roman" w:hAnsi="Times New Roman" w:cs="Times New Roman"/>
          <w:sz w:val="28"/>
          <w:szCs w:val="28"/>
        </w:rPr>
        <w:t xml:space="preserve"> - VII </w:t>
      </w:r>
      <w:proofErr w:type="spellStart"/>
      <w:r w:rsidRPr="003E0C1C">
        <w:rPr>
          <w:rFonts w:ascii="Times New Roman" w:hAnsi="Times New Roman" w:cs="Times New Roman"/>
          <w:sz w:val="28"/>
          <w:szCs w:val="28"/>
        </w:rPr>
        <w:t>рд</w:t>
      </w:r>
      <w:proofErr w:type="spellEnd"/>
    </w:p>
    <w:p w:rsidR="009A3C31" w:rsidRPr="00D95D47" w:rsidRDefault="009A3C31" w:rsidP="00312E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A3C31" w:rsidRPr="00D95D47" w:rsidRDefault="009A3C31" w:rsidP="009A3C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ОПРЕДЕЛЕНИЯ РАСЧЕТНОГО ОБЪЕМА ДОХОДНЫХ ИСТОЧНИКОВ И РАСЧЕТНОГО ОБЪЕМА РАСХОДНЫХ ОБЯЗАТЕЛЬСТВ ПОСЕЛЕНИЙ </w:t>
      </w:r>
      <w:r w:rsidR="00FE302E">
        <w:rPr>
          <w:rFonts w:ascii="Times New Roman" w:hAnsi="Times New Roman" w:cs="Times New Roman"/>
          <w:sz w:val="28"/>
          <w:szCs w:val="28"/>
        </w:rPr>
        <w:t>СЛЮДЯНСКОГО МУНИЦИПАЛЬНОГО РАЙОНА</w:t>
      </w:r>
    </w:p>
    <w:p w:rsidR="009A3C31" w:rsidRDefault="009A3C31" w:rsidP="009A3C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A3C31" w:rsidRDefault="009A3C31" w:rsidP="001A5DEB">
      <w:pPr>
        <w:shd w:val="clear" w:color="auto" w:fill="FFFFFF"/>
        <w:spacing w:after="0" w:line="322" w:lineRule="exact"/>
        <w:ind w:right="62" w:firstLine="851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807E8F">
        <w:rPr>
          <w:rFonts w:ascii="Times New Roman" w:hAnsi="Times New Roman" w:cs="Times New Roman"/>
          <w:spacing w:val="-6"/>
          <w:sz w:val="28"/>
          <w:szCs w:val="28"/>
        </w:rPr>
        <w:t>предел</w:t>
      </w:r>
      <w:r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807E8F">
        <w:rPr>
          <w:rFonts w:ascii="Times New Roman" w:hAnsi="Times New Roman" w:cs="Times New Roman"/>
          <w:spacing w:val="-6"/>
          <w:sz w:val="28"/>
          <w:szCs w:val="28"/>
        </w:rPr>
        <w:t>ни</w:t>
      </w:r>
      <w:r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807E8F">
        <w:rPr>
          <w:rFonts w:ascii="Times New Roman" w:hAnsi="Times New Roman" w:cs="Times New Roman"/>
          <w:spacing w:val="-6"/>
          <w:sz w:val="28"/>
          <w:szCs w:val="28"/>
        </w:rPr>
        <w:t xml:space="preserve"> показателей для расчета 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дотации на выравнивание бюджетной обеспеченности </w:t>
      </w:r>
      <w:r w:rsidR="00FE302E">
        <w:rPr>
          <w:rFonts w:ascii="Times New Roman" w:hAnsi="Times New Roman" w:cs="Times New Roman"/>
          <w:spacing w:val="-6"/>
          <w:sz w:val="28"/>
          <w:szCs w:val="28"/>
        </w:rPr>
        <w:t xml:space="preserve"> поселений, предоставляемой </w:t>
      </w:r>
      <w:r>
        <w:rPr>
          <w:rFonts w:ascii="Times New Roman" w:hAnsi="Times New Roman" w:cs="Times New Roman"/>
          <w:spacing w:val="-6"/>
          <w:sz w:val="28"/>
          <w:szCs w:val="28"/>
        </w:rPr>
        <w:t>из бюджета Слюдянского муниципального района</w:t>
      </w:r>
      <w:r w:rsidR="0087149B">
        <w:rPr>
          <w:rFonts w:ascii="Times New Roman" w:hAnsi="Times New Roman" w:cs="Times New Roman"/>
          <w:spacing w:val="-6"/>
          <w:sz w:val="28"/>
          <w:szCs w:val="28"/>
        </w:rPr>
        <w:t xml:space="preserve"> поселениям Слюдянского муниципального района</w:t>
      </w:r>
      <w:r w:rsidR="004817BF">
        <w:rPr>
          <w:rFonts w:ascii="Times New Roman" w:hAnsi="Times New Roman" w:cs="Times New Roman"/>
          <w:spacing w:val="-6"/>
          <w:sz w:val="28"/>
          <w:szCs w:val="28"/>
        </w:rPr>
        <w:t xml:space="preserve"> (далее – дотация)</w:t>
      </w:r>
      <w:r w:rsidRPr="00807E8F">
        <w:rPr>
          <w:rFonts w:ascii="Times New Roman" w:hAnsi="Times New Roman" w:cs="Times New Roman"/>
          <w:spacing w:val="-6"/>
          <w:sz w:val="28"/>
          <w:szCs w:val="28"/>
        </w:rPr>
        <w:t>,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за счет средств субвенции</w:t>
      </w:r>
      <w:r w:rsidR="00FE302E">
        <w:rPr>
          <w:rFonts w:ascii="Times New Roman" w:hAnsi="Times New Roman" w:cs="Times New Roman"/>
          <w:spacing w:val="-6"/>
          <w:sz w:val="28"/>
          <w:szCs w:val="28"/>
        </w:rPr>
        <w:t xml:space="preserve"> на осуществление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 Иркутской области</w:t>
      </w:r>
      <w:r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FE302E">
        <w:rPr>
          <w:rFonts w:ascii="Times New Roman" w:hAnsi="Times New Roman" w:cs="Times New Roman"/>
          <w:spacing w:val="-6"/>
          <w:sz w:val="28"/>
          <w:szCs w:val="28"/>
        </w:rPr>
        <w:t xml:space="preserve"> бюджетов поселений </w:t>
      </w:r>
      <w:r w:rsidRPr="00807E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7149B">
        <w:rPr>
          <w:rFonts w:ascii="Times New Roman" w:hAnsi="Times New Roman" w:cs="Times New Roman"/>
          <w:spacing w:val="-6"/>
          <w:sz w:val="28"/>
          <w:szCs w:val="28"/>
        </w:rPr>
        <w:t xml:space="preserve">осуществляется </w:t>
      </w:r>
      <w:r w:rsidR="00FE302E">
        <w:rPr>
          <w:rFonts w:ascii="Times New Roman" w:hAnsi="Times New Roman" w:cs="Times New Roman"/>
          <w:spacing w:val="-6"/>
          <w:sz w:val="28"/>
          <w:szCs w:val="28"/>
        </w:rPr>
        <w:t xml:space="preserve">в соответствии с Законом Иркутской области </w:t>
      </w:r>
      <w:r w:rsidR="0087149B">
        <w:rPr>
          <w:rFonts w:ascii="Times New Roman" w:hAnsi="Times New Roman" w:cs="Times New Roman"/>
          <w:spacing w:val="-6"/>
          <w:sz w:val="28"/>
          <w:szCs w:val="28"/>
        </w:rPr>
        <w:t xml:space="preserve">от </w:t>
      </w:r>
      <w:r w:rsidR="00250878">
        <w:rPr>
          <w:rFonts w:ascii="Times New Roman" w:hAnsi="Times New Roman" w:cs="Times New Roman"/>
          <w:spacing w:val="-6"/>
          <w:sz w:val="28"/>
          <w:szCs w:val="28"/>
        </w:rPr>
        <w:t>30 ноября 2021года</w:t>
      </w:r>
      <w:r w:rsidR="0087149B">
        <w:rPr>
          <w:rFonts w:ascii="Times New Roman" w:hAnsi="Times New Roman" w:cs="Times New Roman"/>
          <w:spacing w:val="-6"/>
          <w:sz w:val="28"/>
          <w:szCs w:val="28"/>
        </w:rPr>
        <w:t xml:space="preserve"> №</w:t>
      </w:r>
      <w:r w:rsidR="00250878">
        <w:rPr>
          <w:rFonts w:ascii="Times New Roman" w:hAnsi="Times New Roman" w:cs="Times New Roman"/>
          <w:spacing w:val="-6"/>
          <w:sz w:val="28"/>
          <w:szCs w:val="28"/>
        </w:rPr>
        <w:t xml:space="preserve"> 121-оз</w:t>
      </w:r>
      <w:r w:rsidR="00312EF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E302E" w:rsidRPr="00FE302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наделении органов</w:t>
      </w:r>
      <w:r w:rsidR="0087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2E" w:rsidRPr="00FE302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E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2E" w:rsidRPr="00FE302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   муниципальных</w:t>
      </w:r>
      <w:r w:rsidR="001A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2E" w:rsidRPr="00FE30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</w:t>
      </w:r>
      <w:r w:rsidR="001A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2E" w:rsidRPr="00FE302E">
        <w:rPr>
          <w:rFonts w:ascii="Times New Roman" w:eastAsia="Times New Roman" w:hAnsi="Times New Roman" w:cs="Times New Roman"/>
          <w:sz w:val="28"/>
          <w:szCs w:val="28"/>
          <w:lang w:eastAsia="ru-RU"/>
        </w:rPr>
        <w:t>Иркутской</w:t>
      </w:r>
      <w:r w:rsidR="00312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2E" w:rsidRPr="00FE30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312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2E" w:rsidRPr="00FE30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государственными</w:t>
      </w:r>
      <w:r w:rsidR="001A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2E" w:rsidRPr="00FE302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полномочиями по расчету и предоставлению</w:t>
      </w:r>
      <w:r w:rsidR="0087149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FE302E" w:rsidRPr="00FE30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дотаций    на    выравнивание     бюджетной</w:t>
      </w:r>
      <w:r w:rsidR="0087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2E" w:rsidRPr="00FE30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обеспеченности</w:t>
      </w:r>
      <w:r w:rsidR="001A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2E" w:rsidRPr="00FE30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поселений, входящих</w:t>
      </w:r>
      <w:r w:rsidR="001A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2E" w:rsidRPr="00FE30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7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2E" w:rsidRPr="00FE30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муниципального района Иркутской</w:t>
      </w:r>
      <w:r w:rsidR="0087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2E" w:rsidRPr="00FE30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 бюджетам поселений»</w:t>
      </w:r>
      <w:r w:rsidR="00871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037">
        <w:rPr>
          <w:rFonts w:ascii="Times New Roman" w:hAnsi="Times New Roman" w:cs="Times New Roman"/>
          <w:spacing w:val="-6"/>
          <w:sz w:val="28"/>
          <w:szCs w:val="28"/>
        </w:rPr>
        <w:t>на основании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A1037">
        <w:rPr>
          <w:rFonts w:ascii="Times New Roman" w:hAnsi="Times New Roman" w:cs="Times New Roman"/>
          <w:spacing w:val="-6"/>
          <w:sz w:val="28"/>
          <w:szCs w:val="28"/>
        </w:rPr>
        <w:t>данных, предст</w:t>
      </w:r>
      <w:r w:rsidR="001A5DEB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FA1037">
        <w:rPr>
          <w:rFonts w:ascii="Times New Roman" w:hAnsi="Times New Roman" w:cs="Times New Roman"/>
          <w:spacing w:val="-6"/>
          <w:sz w:val="28"/>
          <w:szCs w:val="28"/>
        </w:rPr>
        <w:t>вленных</w:t>
      </w:r>
      <w:r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9A3C31" w:rsidRDefault="00312EF0" w:rsidP="001A5DE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1) </w:t>
      </w:r>
      <w:r w:rsidR="009A3C31" w:rsidRPr="00FA1037">
        <w:rPr>
          <w:rFonts w:ascii="Times New Roman" w:hAnsi="Times New Roman" w:cs="Times New Roman"/>
          <w:spacing w:val="-6"/>
          <w:sz w:val="28"/>
          <w:szCs w:val="28"/>
        </w:rPr>
        <w:t>органами местного самоуправления муниципальных образований</w:t>
      </w:r>
      <w:r w:rsidR="0087149B">
        <w:rPr>
          <w:rFonts w:ascii="Times New Roman" w:hAnsi="Times New Roman" w:cs="Times New Roman"/>
          <w:spacing w:val="-6"/>
          <w:sz w:val="28"/>
          <w:szCs w:val="28"/>
        </w:rPr>
        <w:t xml:space="preserve"> Слюдянского муниципального района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9A3C31" w:rsidRDefault="00312EF0" w:rsidP="001A5DE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- </w:t>
      </w:r>
      <w:r w:rsidR="009A3C31" w:rsidRPr="00FA1037">
        <w:rPr>
          <w:rFonts w:ascii="Times New Roman" w:hAnsi="Times New Roman" w:cs="Times New Roman"/>
          <w:spacing w:val="-6"/>
          <w:sz w:val="28"/>
          <w:szCs w:val="28"/>
        </w:rPr>
        <w:t xml:space="preserve">в 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t>оценке</w:t>
      </w:r>
      <w:r w:rsidR="009A3C31" w:rsidRPr="00FA1037">
        <w:rPr>
          <w:rFonts w:ascii="Times New Roman" w:hAnsi="Times New Roman" w:cs="Times New Roman"/>
          <w:spacing w:val="-6"/>
          <w:sz w:val="28"/>
          <w:szCs w:val="28"/>
        </w:rPr>
        <w:t xml:space="preserve"> исполнения 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t xml:space="preserve">местного </w:t>
      </w:r>
      <w:r w:rsidR="009A3C31" w:rsidRPr="00FA1037">
        <w:rPr>
          <w:rFonts w:ascii="Times New Roman" w:hAnsi="Times New Roman" w:cs="Times New Roman"/>
          <w:spacing w:val="-6"/>
          <w:sz w:val="28"/>
          <w:szCs w:val="28"/>
        </w:rPr>
        <w:t>бюджета до конца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t xml:space="preserve"> текущего</w:t>
      </w:r>
      <w:r w:rsidR="009A3C31" w:rsidRPr="00FA1037">
        <w:rPr>
          <w:rFonts w:ascii="Times New Roman" w:hAnsi="Times New Roman" w:cs="Times New Roman"/>
          <w:spacing w:val="-6"/>
          <w:sz w:val="28"/>
          <w:szCs w:val="28"/>
        </w:rPr>
        <w:t xml:space="preserve"> финансового года с учетом прогноза по доходам, расходам и источникам финансирования 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t>дефицита местного</w:t>
      </w:r>
      <w:r w:rsidR="009A3C31" w:rsidRPr="00FA1037">
        <w:rPr>
          <w:rFonts w:ascii="Times New Roman" w:hAnsi="Times New Roman" w:cs="Times New Roman"/>
          <w:spacing w:val="-6"/>
          <w:sz w:val="28"/>
          <w:szCs w:val="28"/>
        </w:rPr>
        <w:t xml:space="preserve"> бюджета по состоянию на 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9A3C31" w:rsidRPr="00FA103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t>октября 2021</w:t>
      </w:r>
      <w:r w:rsidR="009A3C31" w:rsidRPr="00FA1037">
        <w:rPr>
          <w:rFonts w:ascii="Times New Roman" w:hAnsi="Times New Roman" w:cs="Times New Roman"/>
          <w:spacing w:val="-6"/>
          <w:sz w:val="28"/>
          <w:szCs w:val="28"/>
        </w:rPr>
        <w:t xml:space="preserve"> год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="00EA4B7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t>по форме, утвержденной приказом министерства финансов Иркутской области от 25 сентября 2019 года № 53н-мпр;</w:t>
      </w:r>
    </w:p>
    <w:p w:rsidR="000A4987" w:rsidRDefault="00312EF0" w:rsidP="001A5DE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- </w:t>
      </w:r>
      <w:r w:rsidR="009A3C31" w:rsidRPr="004817BF">
        <w:rPr>
          <w:rFonts w:ascii="Times New Roman" w:hAnsi="Times New Roman" w:cs="Times New Roman"/>
          <w:spacing w:val="-6"/>
          <w:sz w:val="28"/>
          <w:szCs w:val="28"/>
        </w:rPr>
        <w:t>в форме федерального</w:t>
      </w:r>
      <w:r w:rsidR="001A5DE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A3C31" w:rsidRPr="004817BF">
        <w:rPr>
          <w:rFonts w:ascii="Times New Roman" w:hAnsi="Times New Roman" w:cs="Times New Roman"/>
          <w:spacing w:val="-6"/>
          <w:sz w:val="28"/>
          <w:szCs w:val="28"/>
        </w:rPr>
        <w:t xml:space="preserve">статистического наблюдения о численности постоянного </w:t>
      </w:r>
      <w:r w:rsidR="000A4987">
        <w:rPr>
          <w:rFonts w:ascii="Times New Roman" w:hAnsi="Times New Roman" w:cs="Times New Roman"/>
          <w:spacing w:val="-6"/>
          <w:sz w:val="28"/>
          <w:szCs w:val="28"/>
        </w:rPr>
        <w:t>населения на 1 января 2021 года;</w:t>
      </w:r>
    </w:p>
    <w:p w:rsidR="009A3C31" w:rsidRDefault="009A3C31" w:rsidP="001A5D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Расчетный объем доходных источников, которые могут быть направлены </w:t>
      </w:r>
      <w:r>
        <w:rPr>
          <w:rFonts w:ascii="Times New Roman" w:hAnsi="Times New Roman" w:cs="Times New Roman"/>
          <w:spacing w:val="-6"/>
          <w:sz w:val="28"/>
          <w:szCs w:val="28"/>
        </w:rPr>
        <w:br/>
      </w:r>
      <w:r>
        <w:rPr>
          <w:rFonts w:ascii="Times New Roman" w:hAnsi="Times New Roman" w:cs="Times New Roman"/>
          <w:spacing w:val="-6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-ым поселением, входящим в состав </w:t>
      </w:r>
      <w:r w:rsidR="00312EF0">
        <w:rPr>
          <w:rFonts w:ascii="Times New Roman" w:hAnsi="Times New Roman" w:cs="Times New Roman"/>
          <w:spacing w:val="-6"/>
          <w:sz w:val="28"/>
          <w:szCs w:val="28"/>
        </w:rPr>
        <w:t>Слюдянского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муниципального района, на исполнение расходных обязательств на 2022</w:t>
      </w:r>
      <w:r w:rsidR="004817BF">
        <w:rPr>
          <w:rFonts w:ascii="Times New Roman" w:hAnsi="Times New Roman" w:cs="Times New Roman"/>
          <w:spacing w:val="-6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и на плановый период 2023 и 2024 годов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 xml:space="preserve"> (П</m:t>
            </m:r>
          </m:e>
          <m:sub>
            <m:r>
              <w:rPr>
                <w:rFonts w:ascii="Cambria Math" w:hAnsi="Cambria Math" w:cs="Times New Roman"/>
                <w:spacing w:val="-6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pacing w:val="-6"/>
            <w:sz w:val="28"/>
            <w:szCs w:val="28"/>
          </w:rPr>
          <m:t>)</m:t>
        </m:r>
      </m:oMath>
      <w:r>
        <w:rPr>
          <w:rFonts w:ascii="Times New Roman" w:hAnsi="Times New Roman" w:cs="Times New Roman"/>
          <w:spacing w:val="-6"/>
          <w:sz w:val="28"/>
          <w:szCs w:val="28"/>
        </w:rPr>
        <w:t>, определяется по формуле:</w:t>
      </w:r>
    </w:p>
    <w:p w:rsidR="009A3C31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9A3C31" w:rsidRDefault="009A3C31" w:rsidP="009A3C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pacing w:val="-6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                                                            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 w:cs="Times New Roman"/>
                <w:spacing w:val="-6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pacing w:val="-6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ННД</m:t>
            </m:r>
          </m:e>
          <m:sub>
            <m:r>
              <w:rPr>
                <w:rFonts w:ascii="Cambria Math" w:hAnsi="Cambria Math" w:cs="Times New Roman"/>
                <w:spacing w:val="-6"/>
                <w:sz w:val="28"/>
                <w:szCs w:val="28"/>
                <w:lang w:val="en-US"/>
              </w:rPr>
              <m:t>j</m:t>
            </m:r>
          </m:sub>
        </m:sSub>
      </m:oMath>
      <w:r w:rsidRPr="00101D1D">
        <w:rPr>
          <w:rFonts w:ascii="Times New Roman" w:eastAsiaTheme="minorEastAsia" w:hAnsi="Times New Roman" w:cs="Times New Roman"/>
          <w:spacing w:val="-6"/>
          <w:sz w:val="28"/>
          <w:szCs w:val="28"/>
        </w:rPr>
        <w:t>, где</w:t>
      </w:r>
      <w:r w:rsidRPr="00101D1D">
        <w:rPr>
          <w:rFonts w:ascii="Times New Roman" w:eastAsiaTheme="minorEastAsia" w:hAnsi="Times New Roman" w:cs="Times New Roman"/>
          <w:spacing w:val="-6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                      </w:t>
      </w:r>
      <w:r>
        <w:rPr>
          <w:rFonts w:ascii="Times New Roman" w:eastAsiaTheme="minorEastAsia" w:hAnsi="Times New Roman" w:cs="Times New Roman"/>
          <w:spacing w:val="-6"/>
          <w:sz w:val="28"/>
          <w:szCs w:val="28"/>
        </w:rPr>
        <w:tab/>
        <w:t>(1</w:t>
      </w:r>
      <w:r w:rsidRPr="00101D1D">
        <w:rPr>
          <w:rFonts w:ascii="Times New Roman" w:eastAsiaTheme="minorEastAsia" w:hAnsi="Times New Roman" w:cs="Times New Roman"/>
          <w:spacing w:val="-6"/>
          <w:sz w:val="28"/>
          <w:szCs w:val="28"/>
        </w:rPr>
        <w:t>)</w:t>
      </w:r>
    </w:p>
    <w:p w:rsidR="009A3C31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pacing w:val="-6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</w:t>
      </w:r>
    </w:p>
    <w:p w:rsidR="009A3C31" w:rsidRDefault="008B6C7A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pacing w:val="-6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ННД</m:t>
            </m:r>
          </m:e>
          <m:sub>
            <m:r>
              <w:rPr>
                <w:rFonts w:ascii="Cambria Math" w:hAnsi="Cambria Math" w:cs="Times New Roman"/>
                <w:spacing w:val="-6"/>
                <w:sz w:val="28"/>
                <w:szCs w:val="28"/>
                <w:lang w:val="en-US"/>
              </w:rPr>
              <m:t>j</m:t>
            </m:r>
          </m:sub>
        </m:sSub>
      </m:oMath>
      <w:r w:rsidR="009A3C31" w:rsidRPr="00101D1D">
        <w:rPr>
          <w:rFonts w:ascii="Times New Roman" w:hAnsi="Times New Roman" w:cs="Times New Roman"/>
          <w:spacing w:val="-6"/>
          <w:sz w:val="28"/>
          <w:szCs w:val="28"/>
        </w:rPr>
        <w:t xml:space="preserve"> –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t xml:space="preserve"> прогноз </w:t>
      </w:r>
      <w:r w:rsidR="009A3C31" w:rsidRPr="00101D1D">
        <w:rPr>
          <w:rFonts w:ascii="Times New Roman" w:hAnsi="Times New Roman" w:cs="Times New Roman"/>
          <w:spacing w:val="-6"/>
          <w:sz w:val="28"/>
          <w:szCs w:val="28"/>
        </w:rPr>
        <w:t>налоговы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t>х</w:t>
      </w:r>
      <w:r w:rsidR="009A3C31" w:rsidRPr="00101D1D">
        <w:rPr>
          <w:rFonts w:ascii="Times New Roman" w:hAnsi="Times New Roman" w:cs="Times New Roman"/>
          <w:spacing w:val="-6"/>
          <w:sz w:val="28"/>
          <w:szCs w:val="28"/>
        </w:rPr>
        <w:t>, неналоговы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t>х доходов</w:t>
      </w:r>
      <w:r w:rsidR="009A3C31" w:rsidRPr="00101D1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t xml:space="preserve">(без учета акцизов по подакцизным товарам (продукции, производимым на территории Российской 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Федерации), </w:t>
      </w:r>
      <w:r w:rsidR="009A3C31" w:rsidRPr="00C16B04">
        <w:rPr>
          <w:rFonts w:ascii="Times New Roman" w:hAnsi="Times New Roman" w:cs="Times New Roman"/>
          <w:spacing w:val="-6"/>
          <w:sz w:val="28"/>
          <w:szCs w:val="28"/>
        </w:rPr>
        <w:t xml:space="preserve">определяемый 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t>на уровне оценки доходов на очередной финансовый год</w:t>
      </w:r>
      <w:r w:rsidR="009A3C31" w:rsidRPr="00C16B0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A3C31">
        <w:rPr>
          <w:rFonts w:ascii="Times New Roman" w:hAnsi="Times New Roman" w:cs="Times New Roman"/>
          <w:spacing w:val="-6"/>
          <w:sz w:val="28"/>
          <w:szCs w:val="28"/>
          <w:lang w:val="en-US"/>
        </w:rPr>
        <w:t>j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noBreakHyphen/>
      </w:r>
      <w:proofErr w:type="spellStart"/>
      <w:r w:rsidR="009A3C31">
        <w:rPr>
          <w:rFonts w:ascii="Times New Roman" w:hAnsi="Times New Roman" w:cs="Times New Roman"/>
          <w:spacing w:val="-6"/>
          <w:sz w:val="28"/>
          <w:szCs w:val="28"/>
        </w:rPr>
        <w:t>го</w:t>
      </w:r>
      <w:proofErr w:type="spellEnd"/>
      <w:r w:rsidR="009A3C31">
        <w:rPr>
          <w:rFonts w:ascii="Times New Roman" w:hAnsi="Times New Roman" w:cs="Times New Roman"/>
          <w:spacing w:val="-6"/>
          <w:sz w:val="28"/>
          <w:szCs w:val="28"/>
        </w:rPr>
        <w:t xml:space="preserve"> поселения, за исключением налога на доходы физических лиц (далее – НДФЛ). Для поселений, не имеющих рост поступлений по кассовому исполнению по состоянию на отчетную дату текущего года к аналогичному периоду прошлого года, НДФЛ принимается на уровне фактического исполнения за отчетный год с учетом темпа роста от кассового исполнения по состоянию на отчетную дату текущего года к аналогичному периоду прошлого года</w:t>
      </w:r>
      <w:r w:rsidR="009A3C31" w:rsidRPr="003374F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t xml:space="preserve">не менее оценки доходов </w:t>
      </w:r>
      <w:r w:rsidR="009A3C31">
        <w:rPr>
          <w:rFonts w:ascii="Times New Roman" w:hAnsi="Times New Roman" w:cs="Times New Roman"/>
          <w:spacing w:val="-6"/>
          <w:sz w:val="28"/>
          <w:szCs w:val="28"/>
          <w:lang w:val="en-US"/>
        </w:rPr>
        <w:t>j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noBreakHyphen/>
      </w:r>
      <w:proofErr w:type="spellStart"/>
      <w:r w:rsidR="009A3C31">
        <w:rPr>
          <w:rFonts w:ascii="Times New Roman" w:hAnsi="Times New Roman" w:cs="Times New Roman"/>
          <w:spacing w:val="-6"/>
          <w:sz w:val="28"/>
          <w:szCs w:val="28"/>
        </w:rPr>
        <w:t>го</w:t>
      </w:r>
      <w:proofErr w:type="spellEnd"/>
      <w:r w:rsidR="009A3C31">
        <w:rPr>
          <w:rFonts w:ascii="Times New Roman" w:hAnsi="Times New Roman" w:cs="Times New Roman"/>
          <w:spacing w:val="-6"/>
          <w:sz w:val="28"/>
          <w:szCs w:val="28"/>
        </w:rPr>
        <w:t xml:space="preserve"> поселения на очередной финансовый год. В иных случаях НДФЛ принимается на уровне кассового исполнения на отчетную дату текущего года и фактического поступления за 4 квартал отчетного года не менее оценки доходов на очередной финансовый год</w:t>
      </w:r>
      <w:r w:rsidR="009A3C31" w:rsidRPr="000C51C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A3C31">
        <w:rPr>
          <w:rFonts w:ascii="Times New Roman" w:hAnsi="Times New Roman" w:cs="Times New Roman"/>
          <w:spacing w:val="-6"/>
          <w:sz w:val="28"/>
          <w:szCs w:val="28"/>
          <w:lang w:val="en-US"/>
        </w:rPr>
        <w:t>j</w:t>
      </w:r>
      <w:r w:rsidR="009A3C31">
        <w:rPr>
          <w:rFonts w:ascii="Times New Roman" w:hAnsi="Times New Roman" w:cs="Times New Roman"/>
          <w:spacing w:val="-6"/>
          <w:sz w:val="28"/>
          <w:szCs w:val="28"/>
        </w:rPr>
        <w:noBreakHyphen/>
      </w:r>
      <w:proofErr w:type="spellStart"/>
      <w:r w:rsidR="009A3C31">
        <w:rPr>
          <w:rFonts w:ascii="Times New Roman" w:hAnsi="Times New Roman" w:cs="Times New Roman"/>
          <w:spacing w:val="-6"/>
          <w:sz w:val="28"/>
          <w:szCs w:val="28"/>
        </w:rPr>
        <w:t>го</w:t>
      </w:r>
      <w:proofErr w:type="spellEnd"/>
      <w:r w:rsidR="009A3C31">
        <w:rPr>
          <w:rFonts w:ascii="Times New Roman" w:hAnsi="Times New Roman" w:cs="Times New Roman"/>
          <w:spacing w:val="-6"/>
          <w:sz w:val="28"/>
          <w:szCs w:val="28"/>
        </w:rPr>
        <w:t xml:space="preserve"> поселения.</w:t>
      </w:r>
    </w:p>
    <w:p w:rsidR="009A3C31" w:rsidRPr="006D56CC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D56CC">
        <w:rPr>
          <w:rFonts w:ascii="Times New Roman" w:hAnsi="Times New Roman" w:cs="Times New Roman"/>
          <w:spacing w:val="-6"/>
          <w:sz w:val="28"/>
          <w:szCs w:val="28"/>
        </w:rPr>
        <w:t xml:space="preserve">Расчетный объем расходных обязательств </w:t>
      </w:r>
      <w:r w:rsidRPr="006D56CC">
        <w:rPr>
          <w:rFonts w:ascii="Times New Roman" w:hAnsi="Times New Roman" w:cs="Times New Roman"/>
          <w:spacing w:val="-6"/>
          <w:sz w:val="28"/>
          <w:szCs w:val="28"/>
          <w:lang w:val="en-US"/>
        </w:rPr>
        <w:t>j</w:t>
      </w:r>
      <w:r w:rsidR="00447DB5" w:rsidRPr="006D56CC">
        <w:rPr>
          <w:rFonts w:ascii="Times New Roman" w:hAnsi="Times New Roman" w:cs="Times New Roman"/>
          <w:spacing w:val="-6"/>
          <w:sz w:val="28"/>
          <w:szCs w:val="28"/>
        </w:rPr>
        <w:t>-го поселения</w:t>
      </w:r>
      <w:r w:rsidRPr="006D56CC">
        <w:rPr>
          <w:rFonts w:ascii="Times New Roman" w:hAnsi="Times New Roman" w:cs="Times New Roman"/>
          <w:spacing w:val="-6"/>
          <w:sz w:val="28"/>
          <w:szCs w:val="28"/>
        </w:rPr>
        <w:t xml:space="preserve"> на 2022 </w:t>
      </w:r>
      <w:r w:rsidR="004817BF" w:rsidRPr="006D56CC">
        <w:rPr>
          <w:rFonts w:ascii="Times New Roman" w:hAnsi="Times New Roman" w:cs="Times New Roman"/>
          <w:spacing w:val="-6"/>
          <w:sz w:val="28"/>
          <w:szCs w:val="28"/>
        </w:rPr>
        <w:t xml:space="preserve">год </w:t>
      </w:r>
      <w:r w:rsidRPr="006D56CC">
        <w:rPr>
          <w:rFonts w:ascii="Times New Roman" w:hAnsi="Times New Roman" w:cs="Times New Roman"/>
          <w:spacing w:val="-6"/>
          <w:sz w:val="28"/>
          <w:szCs w:val="28"/>
        </w:rPr>
        <w:t>и на плановый период 2023 и 2024 годов (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 xml:space="preserve"> Р</m:t>
            </m:r>
          </m:e>
          <m:sub>
            <m:r>
              <w:rPr>
                <w:rFonts w:ascii="Cambria Math" w:hAnsi="Cambria Math" w:cs="Times New Roman"/>
                <w:spacing w:val="-6"/>
                <w:sz w:val="28"/>
                <w:szCs w:val="28"/>
                <w:lang w:val="en-US"/>
              </w:rPr>
              <m:t>j</m:t>
            </m:r>
          </m:sub>
        </m:sSub>
      </m:oMath>
      <w:r w:rsidRPr="006D56CC">
        <w:rPr>
          <w:rFonts w:ascii="Times New Roman" w:hAnsi="Times New Roman" w:cs="Times New Roman"/>
          <w:spacing w:val="-6"/>
          <w:sz w:val="28"/>
          <w:szCs w:val="28"/>
        </w:rPr>
        <w:t>) определяется по формуле:</w:t>
      </w:r>
    </w:p>
    <w:p w:rsidR="009A3C31" w:rsidRPr="006D56CC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9A3C31" w:rsidRPr="006D56CC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pacing w:val="-6"/>
          <w:sz w:val="28"/>
          <w:szCs w:val="28"/>
        </w:rPr>
      </w:pPr>
      <w:r w:rsidRPr="006D56CC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                                               </w:t>
      </w:r>
      <m:oMath>
        <m:sSub>
          <m:sSubPr>
            <m:ctrlPr>
              <w:rPr>
                <w:rFonts w:ascii="Cambria Math" w:hAnsi="Cambria Math" w:cs="Times New Roman"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pacing w:val="-6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pacing w:val="-6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pacing w:val="-6"/>
                <w:sz w:val="28"/>
                <w:szCs w:val="28"/>
              </w:rPr>
              <m:t>ПР</m:t>
            </m:r>
          </m:e>
          <m:sub>
            <m:r>
              <w:rPr>
                <w:rFonts w:ascii="Cambria Math" w:eastAsiaTheme="minorEastAsia" w:hAnsi="Cambria Math" w:cs="Times New Roman"/>
                <w:spacing w:val="-6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pacing w:val="-6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spacing w:val="-6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БК</m:t>
            </m:r>
          </m:e>
          <m:sub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j</m:t>
            </m:r>
          </m:sub>
          <m:sup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пог.</m:t>
            </m:r>
          </m:sup>
        </m:sSubSup>
      </m:oMath>
      <w:r w:rsidRPr="006D56CC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 , где                               </w:t>
      </w:r>
      <w:r w:rsidR="00312EF0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 </w:t>
      </w:r>
      <w:r w:rsidRPr="006D56CC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(2)</w:t>
      </w:r>
    </w:p>
    <w:p w:rsidR="009A3C31" w:rsidRPr="006D56CC" w:rsidRDefault="009A3C31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E17A94" w:rsidRPr="006D56CC" w:rsidRDefault="008B6C7A" w:rsidP="009A3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pacing w:val="-6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ПР</m:t>
            </m:r>
          </m:e>
          <m:sub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j</m:t>
            </m:r>
          </m:sub>
        </m:sSub>
      </m:oMath>
      <w:r w:rsidR="009A3C31" w:rsidRPr="006D56CC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- прогноз объема расходов</w:t>
      </w:r>
      <w:r w:rsidR="009A3C31" w:rsidRPr="006D56C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A3C31" w:rsidRPr="006D56CC">
        <w:rPr>
          <w:rFonts w:ascii="Times New Roman" w:hAnsi="Times New Roman" w:cs="Times New Roman"/>
          <w:spacing w:val="-6"/>
          <w:sz w:val="28"/>
          <w:szCs w:val="28"/>
          <w:lang w:val="en-US"/>
        </w:rPr>
        <w:t>j</w:t>
      </w:r>
      <w:r w:rsidR="009A3C31" w:rsidRPr="006D56CC">
        <w:rPr>
          <w:rFonts w:ascii="Times New Roman" w:hAnsi="Times New Roman" w:cs="Times New Roman"/>
          <w:spacing w:val="-6"/>
          <w:sz w:val="28"/>
          <w:szCs w:val="28"/>
        </w:rPr>
        <w:t xml:space="preserve">-го поселения </w:t>
      </w:r>
      <w:r w:rsidR="00E17A94" w:rsidRPr="006D56CC">
        <w:rPr>
          <w:rFonts w:ascii="Times New Roman" w:hAnsi="Times New Roman" w:cs="Times New Roman"/>
          <w:spacing w:val="-6"/>
          <w:sz w:val="28"/>
          <w:szCs w:val="28"/>
        </w:rPr>
        <w:t xml:space="preserve">на 2022 год и на плановый период 2023 и 2024 годов </w:t>
      </w:r>
      <w:r w:rsidR="009A3C31" w:rsidRPr="006D56CC">
        <w:rPr>
          <w:rFonts w:ascii="Times New Roman" w:eastAsiaTheme="minorEastAsia" w:hAnsi="Times New Roman" w:cs="Times New Roman"/>
          <w:spacing w:val="-6"/>
          <w:sz w:val="28"/>
          <w:szCs w:val="28"/>
        </w:rPr>
        <w:t>без целевых средств</w:t>
      </w:r>
      <w:r w:rsidR="009A3C31" w:rsidRPr="006D56CC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9A3C31" w:rsidRPr="006D56CC">
        <w:rPr>
          <w:rFonts w:ascii="Times New Roman" w:eastAsiaTheme="minorEastAsia" w:hAnsi="Times New Roman" w:cs="Times New Roman"/>
          <w:spacing w:val="-6"/>
          <w:sz w:val="28"/>
          <w:szCs w:val="28"/>
        </w:rPr>
        <w:t>определяемый</w:t>
      </w:r>
      <w:r w:rsidR="00E17A94" w:rsidRPr="006D56CC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на основании данных оценки исполнения бюджета </w:t>
      </w:r>
      <w:r w:rsidR="00E17A94" w:rsidRPr="006D56CC">
        <w:rPr>
          <w:rFonts w:ascii="Times New Roman" w:eastAsiaTheme="minorEastAsia" w:hAnsi="Times New Roman" w:cs="Times New Roman"/>
          <w:spacing w:val="-6"/>
          <w:sz w:val="28"/>
          <w:szCs w:val="28"/>
          <w:lang w:val="en-US"/>
        </w:rPr>
        <w:t>j</w:t>
      </w:r>
      <w:r w:rsidR="00E17A94" w:rsidRPr="006D56CC">
        <w:rPr>
          <w:rFonts w:ascii="Times New Roman" w:eastAsiaTheme="minorEastAsia" w:hAnsi="Times New Roman" w:cs="Times New Roman"/>
          <w:spacing w:val="-6"/>
          <w:sz w:val="28"/>
          <w:szCs w:val="28"/>
        </w:rPr>
        <w:t>-го поселения</w:t>
      </w:r>
      <w:r w:rsidR="00EA4B77" w:rsidRPr="006D56CC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, </w:t>
      </w:r>
      <w:r w:rsidR="00E17A94" w:rsidRPr="006D56CC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</w:t>
      </w:r>
      <w:r w:rsidR="00E17A94" w:rsidRPr="006D56CC">
        <w:rPr>
          <w:rFonts w:ascii="Times New Roman" w:hAnsi="Times New Roman" w:cs="Times New Roman"/>
          <w:spacing w:val="-6"/>
          <w:sz w:val="28"/>
          <w:szCs w:val="28"/>
        </w:rPr>
        <w:t>согласно приложению к настоящему Порядку.</w:t>
      </w:r>
    </w:p>
    <w:p w:rsidR="006D56CC" w:rsidRPr="00312EF0" w:rsidRDefault="009A3C31" w:rsidP="00312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pacing w:val="-6"/>
          <w:sz w:val="28"/>
          <w:szCs w:val="28"/>
        </w:rPr>
      </w:pPr>
      <w:r w:rsidRPr="006D56CC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spacing w:val="-6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БК</m:t>
            </m:r>
          </m:e>
          <m:sub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j</m:t>
            </m:r>
          </m:sub>
          <m:sup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пог.</m:t>
            </m:r>
          </m:sup>
        </m:sSubSup>
      </m:oMath>
      <w:r w:rsidRPr="006D56CC">
        <w:t xml:space="preserve"> - </w:t>
      </w:r>
      <w:r w:rsidR="00EA4B77" w:rsidRPr="006D56CC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объем средств </w:t>
      </w:r>
      <w:r w:rsidR="00EA4B77" w:rsidRPr="006D56CC">
        <w:rPr>
          <w:rFonts w:ascii="Times New Roman" w:eastAsiaTheme="minorEastAsia" w:hAnsi="Times New Roman" w:cs="Times New Roman"/>
          <w:spacing w:val="-6"/>
          <w:sz w:val="28"/>
          <w:szCs w:val="28"/>
          <w:lang w:val="en-US"/>
        </w:rPr>
        <w:t>j</w:t>
      </w:r>
      <w:r w:rsidRPr="006D56CC">
        <w:rPr>
          <w:rFonts w:ascii="Times New Roman" w:eastAsiaTheme="minorEastAsia" w:hAnsi="Times New Roman" w:cs="Times New Roman"/>
          <w:spacing w:val="-6"/>
          <w:sz w:val="28"/>
          <w:szCs w:val="28"/>
        </w:rPr>
        <w:t>-го поселения для погашения основного до</w:t>
      </w:r>
      <w:r w:rsidR="00EA4B77" w:rsidRPr="006D56CC">
        <w:rPr>
          <w:rFonts w:ascii="Times New Roman" w:eastAsiaTheme="minorEastAsia" w:hAnsi="Times New Roman" w:cs="Times New Roman"/>
          <w:spacing w:val="-6"/>
          <w:sz w:val="28"/>
          <w:szCs w:val="28"/>
        </w:rPr>
        <w:t>лга по кредитам, полученным из</w:t>
      </w:r>
      <w:r w:rsidR="00312EF0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</w:t>
      </w:r>
      <w:r w:rsidRPr="006D56CC">
        <w:rPr>
          <w:rFonts w:ascii="Times New Roman" w:eastAsiaTheme="minorEastAsia" w:hAnsi="Times New Roman" w:cs="Times New Roman"/>
          <w:spacing w:val="-6"/>
          <w:sz w:val="28"/>
          <w:szCs w:val="28"/>
        </w:rPr>
        <w:t>бюджета</w:t>
      </w:r>
      <w:r w:rsidR="00312EF0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 </w:t>
      </w:r>
      <w:r w:rsidR="00EA4B77" w:rsidRPr="006D56CC">
        <w:rPr>
          <w:rFonts w:ascii="Times New Roman" w:eastAsiaTheme="minorEastAsia" w:hAnsi="Times New Roman" w:cs="Times New Roman"/>
          <w:spacing w:val="-6"/>
          <w:sz w:val="28"/>
          <w:szCs w:val="28"/>
        </w:rPr>
        <w:t xml:space="preserve">Слюдянского муниципального района. </w:t>
      </w:r>
    </w:p>
    <w:p w:rsidR="00A51334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51334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51334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51334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51334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51334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51334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51334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51334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51334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51334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51334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51334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51334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A51334" w:rsidRDefault="00A51334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FB4E98" w:rsidRDefault="009A3C31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8B6C7A" w:rsidRDefault="008B6C7A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8B6C7A" w:rsidRDefault="008B6C7A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bookmarkStart w:id="0" w:name="_GoBack"/>
      <w:bookmarkEnd w:id="0"/>
    </w:p>
    <w:tbl>
      <w:tblPr>
        <w:tblW w:w="10344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992"/>
        <w:gridCol w:w="6514"/>
        <w:gridCol w:w="358"/>
        <w:gridCol w:w="1334"/>
        <w:gridCol w:w="1146"/>
      </w:tblGrid>
      <w:tr w:rsidR="00FB4E98" w:rsidRPr="00FB4E98" w:rsidTr="00FB4E98">
        <w:trPr>
          <w:trHeight w:val="2532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к Порядку определения расчетного объема доходных источников и расчетного объема расходных обязательств поселений Слюдянского  муниципального района</w:t>
            </w:r>
          </w:p>
        </w:tc>
      </w:tr>
      <w:tr w:rsidR="00FB4E98" w:rsidRPr="00FB4E98" w:rsidTr="00FB4E98">
        <w:trPr>
          <w:trHeight w:val="31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4E98" w:rsidRPr="00FB4E98" w:rsidTr="00FB4E98">
        <w:trPr>
          <w:trHeight w:val="405"/>
        </w:trPr>
        <w:tc>
          <w:tcPr>
            <w:tcW w:w="103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Порядок определения расчетного объема расходных обязательств </w:t>
            </w:r>
          </w:p>
        </w:tc>
      </w:tr>
      <w:tr w:rsidR="00FB4E98" w:rsidRPr="00FB4E98" w:rsidTr="00FB4E98">
        <w:trPr>
          <w:trHeight w:val="40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8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B4E98" w:rsidRPr="00FB4E98" w:rsidTr="00FB4E98">
        <w:trPr>
          <w:trHeight w:val="9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строки в отчете</w:t>
            </w:r>
          </w:p>
        </w:tc>
        <w:tc>
          <w:tcPr>
            <w:tcW w:w="6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группы полномочий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приведения</w:t>
            </w:r>
          </w:p>
        </w:tc>
      </w:tr>
      <w:tr w:rsidR="003577A2" w:rsidRPr="00FB4E98" w:rsidTr="0018504D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2207.2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838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принимается в объеме средств, запланированных в бюджете поселений на текущий год, в пределах ожидаемой оценки поселений</w:t>
            </w:r>
          </w:p>
          <w:p w:rsidR="003577A2" w:rsidRPr="00FB4E98" w:rsidRDefault="003577A2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77A2" w:rsidRPr="00FB4E98" w:rsidTr="0018504D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2217.2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 (без заработной платы с начислениями на нее)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77A2" w:rsidRPr="00FB4E98" w:rsidTr="0018504D">
        <w:trPr>
          <w:trHeight w:val="63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2219.2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ДЕЯТЕЛЬНОСТИ ПО СБОРУ И ТРАНСПОРТИРОВАНИЮ ТВЕРДЫХ КОММУНАЛЬНЫХ ОТХОДОВ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77A2" w:rsidRPr="00FB4E98" w:rsidTr="0018504D">
        <w:trPr>
          <w:trHeight w:val="94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 без учета обслуживания долговых обязательств в части процентов, пеней и штрафных санкций по бюджетным кредитам, полученным из региональных и местных бюджетов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77A2" w:rsidRPr="00FB4E98" w:rsidTr="0018504D">
        <w:trPr>
          <w:trHeight w:val="157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77A2" w:rsidRPr="00FB4E98" w:rsidTr="0018504D">
        <w:trPr>
          <w:trHeight w:val="220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77A2" w:rsidRPr="00FB4E98" w:rsidRDefault="003577A2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установление гарантий и компенсаций расходов для лиц, работающих и проживающих в районах Крайнего Севера и приравненных к ним местностях – статьи 33 и 35 Закона РФ от 19 февраля 1993 года № 4520-1 «О государственных гарантиях и компенсациях для лиц, работающих и проживающих в районах Крайнего Севера и приравненных к ним местностях» (Ведомости Съезда народных депутатов РФ и Верховного Совета РФ, 1993, № 16, ст. 551, Собрание законодательства РФ, 2004, № 35, ст. 3607; 2014, № 30, ст. 4232, статьи 325 и 326 Трудового кодекса РФ (Собрание законодательства РФ, 2002, № 1, ст. 3)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77A2" w:rsidRPr="00FB4E98" w:rsidTr="0018504D">
        <w:trPr>
          <w:trHeight w:val="12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2202.2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7A2" w:rsidRPr="00FB4E98" w:rsidRDefault="003577A2" w:rsidP="00EC7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ДОРОЖНАЯ ДЕЯТЕЛЬНОСТЬ (в части содержания дорог, заработной платы с начислениями на неё, строительства, текущего и капитального ремонта дорог, приобретения техники, установки дорожных </w:t>
            </w:r>
            <w:proofErr w:type="gramStart"/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знаков )</w:t>
            </w:r>
            <w:proofErr w:type="gramEnd"/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7A2" w:rsidRPr="00FB4E98" w:rsidRDefault="003577A2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7695" w:rsidRPr="00FB4E98" w:rsidTr="00EC7695">
        <w:trPr>
          <w:trHeight w:val="12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2205.21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ЧС, ПРОФИЛАКТИКА ТЕРРОРИЗМА, ЗАЩИТА НАСЕЛЕНИЯ (ГРАЖДАНСКАЯ ОБОРОНА), ОБЕСПЕЧЕНИЕ БЕЗОПАСНОСТИ ЛЮДЕЙ НА ВОДНЫХ ОБЪЕКТАХ, ЕДДС (заработная плата с начислениями на нее работников, не являющихся муниципальными служащими)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695" w:rsidRPr="00FB4E98" w:rsidRDefault="00EC7695" w:rsidP="00EC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принимается на уровне ожидаемой оценки поселений в пределах объема средств, запланированных в бюджете поселений на текущий год, не менее уровня фактических расходов за отчетный год </w:t>
            </w:r>
          </w:p>
        </w:tc>
      </w:tr>
      <w:tr w:rsidR="00EC7695" w:rsidRPr="00FB4E98" w:rsidTr="00EC7695">
        <w:trPr>
          <w:trHeight w:val="12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2205.2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ЧС, ПРОФИЛАКТИКА ТЕРРОРИЗМА, ЗАЩИТА НАСЕЛЕНИЯ (ГРАЖДАНСКАЯ ОБОРОНА), ОБЕСПЕЧЕНИЕ БЕЗОПАСНОСТИ ЛЮДЕЙ НА ВОДНЫХ ОБЪЕКТАХ, ЕДДС (без заработной платы с начислениями на нее работников, не являющихся муниципальными служащими)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7695" w:rsidRPr="00FB4E98" w:rsidTr="00EC7695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2206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ПЕРВИЧНЫХ МЕР ПОЖАРНОЙ БЕЗОПАСНОСТИ В ГРАНИЦАХ МО</w:t>
            </w:r>
          </w:p>
        </w:tc>
        <w:tc>
          <w:tcPr>
            <w:tcW w:w="283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7695" w:rsidRPr="00FB4E98" w:rsidTr="00EC7695">
        <w:trPr>
          <w:trHeight w:val="1283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2214.2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БИБЛИОТЕЧНОЕ ОБСЛУЖИВАНИЕ НАСЕЛЕНИЯ (без заработной платы с начислениями на нее)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695" w:rsidRPr="00FB4E98" w:rsidRDefault="003577A2" w:rsidP="0035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населения. Рассчитано от  </w:t>
            </w:r>
            <w:r w:rsidR="00EC7695" w:rsidRPr="00FB4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ожидаемой оценки поселений на 2022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EC7695" w:rsidRPr="00FB4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2,075 </w:t>
            </w:r>
            <w:proofErr w:type="spellStart"/>
            <w:r w:rsidR="00EC7695" w:rsidRPr="00FB4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т.р</w:t>
            </w:r>
            <w:proofErr w:type="spellEnd"/>
            <w:r w:rsidR="00EC7695" w:rsidRPr="00FB4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 1 жителя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 П</w:t>
            </w:r>
            <w:r w:rsidR="00EC7695" w:rsidRPr="00FB4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рименятся для поселений,</w:t>
            </w:r>
            <w:r w:rsidR="00EC7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имеющих учреждения культуры.</w:t>
            </w:r>
          </w:p>
        </w:tc>
      </w:tr>
      <w:tr w:rsidR="00EC7695" w:rsidRPr="00FB4E98" w:rsidTr="00EC7695">
        <w:trPr>
          <w:trHeight w:val="63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2214.21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БИБЛИОТЕЧНОЕ ОБСЛУЖИВАНИЕ НАСЕЛЕНИЯ (заработная плата с начислениями на нее)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7695" w:rsidRPr="00FB4E98" w:rsidTr="00EC7695">
        <w:trPr>
          <w:trHeight w:val="9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2215.21</w:t>
            </w:r>
          </w:p>
        </w:tc>
        <w:tc>
          <w:tcPr>
            <w:tcW w:w="6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ЖИТЕЛЕЙ УСЛУГАМИ ОРГАНИЗАЦИЙ КУЛЬТУРЫ (заработная плата с начислениями на нее)</w:t>
            </w:r>
          </w:p>
        </w:tc>
        <w:tc>
          <w:tcPr>
            <w:tcW w:w="2838" w:type="dxa"/>
            <w:gridSpan w:val="3"/>
            <w:vMerge/>
            <w:tcBorders>
              <w:left w:val="nil"/>
              <w:right w:val="single" w:sz="4" w:space="0" w:color="000000"/>
            </w:tcBorders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7695" w:rsidRPr="00FB4E98" w:rsidTr="00EC7695">
        <w:trPr>
          <w:trHeight w:val="6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695" w:rsidRPr="00FB4E98" w:rsidRDefault="00EC7695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2215.2</w:t>
            </w:r>
          </w:p>
        </w:tc>
        <w:tc>
          <w:tcPr>
            <w:tcW w:w="6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7695" w:rsidRPr="00FB4E98" w:rsidRDefault="00EC7695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ЖИТЕЛЕЙ УСЛУГАМИ ОРГАНИЗАЦИЙ КУЛЬТУРЫ (без заработной платы с начислениями на нее)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C7695" w:rsidRPr="00FB4E98" w:rsidRDefault="00EC7695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7695" w:rsidRPr="00FB4E98" w:rsidTr="00EC7695">
        <w:trPr>
          <w:trHeight w:val="1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2221.2</w:t>
            </w:r>
          </w:p>
        </w:tc>
        <w:tc>
          <w:tcPr>
            <w:tcW w:w="6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695" w:rsidRPr="00FB4E98" w:rsidRDefault="00EC7695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УТВЕРЖДЕНИЕ ГЕНЕРАЛЬНЫХ ПЛАНОВ, ПРАВИЛ ЗЕМЛЕПОЛЬЗОВАНИЯ И ЗАСТРОЙКИ, ПОСТАНОВКА НА КАДАСТРОВЫЙ УЧЕТ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695" w:rsidRPr="00FB4E98" w:rsidRDefault="00EC7695" w:rsidP="00EC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принимается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средств, запланированных в бюджете поселений на текущий год, не менее фактических расходов за отчетный год в пределах ожидаемой оценки поселений</w:t>
            </w:r>
          </w:p>
        </w:tc>
      </w:tr>
      <w:tr w:rsidR="00FB4E98" w:rsidRPr="00FB4E98" w:rsidTr="00EC7695">
        <w:trPr>
          <w:trHeight w:val="31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6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хозяйственное обслуживание учреждений</w:t>
            </w:r>
          </w:p>
        </w:tc>
        <w:tc>
          <w:tcPr>
            <w:tcW w:w="28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E98" w:rsidRPr="00FB4E98" w:rsidTr="00FB4E98">
        <w:trPr>
          <w:trHeight w:val="171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2218.2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МАССОВОГО ОТДЫХА ЖИТЕЛЕЙ МО, СОДЕРЖАНИЕ МЕСТ ЗАХОРОНЕНИЯ, ЗАЩИТА ЛЕСОВ, РАЗМЕЩЕНИЕ РЕКЛАМНЫХ КОНСТРУКЦИЙ, ПРИСВОЕНИЕ АДРЕСОВ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принимается на уровне кассового исполнения по состоянию на отчетную дату текущего года не менее уровня фактических расходов за отчетный год в пределах объема средств, запланированных в бюджете поселений на текущий год, и ожидаемой оценки поселений</w:t>
            </w:r>
          </w:p>
        </w:tc>
      </w:tr>
      <w:tr w:rsidR="00FB4E98" w:rsidRPr="00FB4E98" w:rsidTr="00FB4E98">
        <w:trPr>
          <w:trHeight w:val="12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2220.2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ТЕРРИТОРИИ, В Т.Ч. В ЧАСТИ РАСХОДОВ НА ОСУЩЕСТВЛЕНИЕ ДОРОЖНОЙ ДЕЯТЕЛЬНОСТИ (РЕМОНТ ДВОРОВЫХ ТЕРРИТОРИЙ МНОГОКВАРТИРНЫХ ДОМОВ)</w:t>
            </w:r>
          </w:p>
        </w:tc>
        <w:tc>
          <w:tcPr>
            <w:tcW w:w="2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3577A2" w:rsidP="0035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="00FB4E98"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исленность населения</w:t>
            </w:r>
            <w:r w:rsid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FB4E98" w:rsidRPr="00FB4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благоустройство р</w:t>
            </w:r>
            <w:r w:rsidR="00FB4E98" w:rsidRPr="00FB4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ассчитано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ожидаемой </w:t>
            </w:r>
            <w:r w:rsidR="00FB4E98" w:rsidRPr="00FB4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 поселе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 на  2022 год </w:t>
            </w:r>
            <w:r w:rsidR="00FB4E98" w:rsidRPr="00FB4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FB4E98" w:rsidRPr="00FB4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0,92 </w:t>
            </w:r>
            <w:proofErr w:type="spellStart"/>
            <w:r w:rsidR="00FB4E98" w:rsidRPr="00FB4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т.р</w:t>
            </w:r>
            <w:proofErr w:type="spellEnd"/>
            <w:r w:rsidR="00FB4E98" w:rsidRPr="00FB4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 1 жителя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FB4E98" w:rsidRPr="00FB4E98" w:rsidTr="00FB4E98">
        <w:trPr>
          <w:trHeight w:val="94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2410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ПЕРЕДАЧА ЧАСТИ ПОЛНОМОЧИЙ БЮДЖЕТУ ДРУГОГО УРОВНЯ ПО СОГЛАШЕНИЯМ </w:t>
            </w: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(в части финансового обеспечения деятельности ОМСУ района (поселения))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4E98" w:rsidRPr="00FB4E98" w:rsidRDefault="00FB4E98" w:rsidP="0035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принимается на уровне ожидаемой оценки поселений в пределах объема средств, запланированных в бюджете поселений на текущий год, не менее  фактических расходов за отчетный год</w:t>
            </w:r>
          </w:p>
        </w:tc>
      </w:tr>
      <w:tr w:rsidR="00FB4E98" w:rsidRPr="00FB4E98" w:rsidTr="00FB4E98">
        <w:trPr>
          <w:trHeight w:val="94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2420.3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ПЕРЕДАЧА ЧАСТИ ПОЛНОМОЧИЙ БЮДЖЕТУ ДРУГОГО УРОВНЯ ПО СОГЛАШЕНИЯМ </w:t>
            </w: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 в части иных полномочий, осуществляемых за счет собственных средств)</w:t>
            </w:r>
          </w:p>
        </w:tc>
        <w:tc>
          <w:tcPr>
            <w:tcW w:w="28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E98" w:rsidRPr="00FB4E98" w:rsidTr="00FB4E98">
        <w:trPr>
          <w:trHeight w:val="12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материально-техническое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  (с начислениями) (в части выборных должностных лиц, муниципальных служащих)</w:t>
            </w:r>
          </w:p>
        </w:tc>
        <w:tc>
          <w:tcPr>
            <w:tcW w:w="28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E98" w:rsidRPr="00FB4E98" w:rsidTr="00FB4E98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коммунальные услуги, приобретение топлива (без горюче-смазочных материалов)</w:t>
            </w:r>
          </w:p>
        </w:tc>
        <w:tc>
          <w:tcPr>
            <w:tcW w:w="28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E98" w:rsidRPr="00FB4E98" w:rsidTr="00FB4E98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28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E98" w:rsidRPr="00FB4E98" w:rsidTr="00FB4E98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расходы (№ 599-пп от 27.11.2014 г.)</w:t>
            </w:r>
          </w:p>
        </w:tc>
        <w:tc>
          <w:tcPr>
            <w:tcW w:w="28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E98" w:rsidRPr="00FB4E98" w:rsidTr="00FB4E98">
        <w:trPr>
          <w:trHeight w:val="63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Учреждения по управлению в сфере капитального строительства, работники которого не являются </w:t>
            </w:r>
            <w:proofErr w:type="spellStart"/>
            <w:proofErr w:type="gramStart"/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мун.служащими</w:t>
            </w:r>
            <w:proofErr w:type="spellEnd"/>
            <w:proofErr w:type="gramEnd"/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(иначе </w:t>
            </w:r>
            <w:proofErr w:type="spellStart"/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1, 2)</w:t>
            </w:r>
          </w:p>
        </w:tc>
        <w:tc>
          <w:tcPr>
            <w:tcW w:w="28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E98" w:rsidRPr="00FB4E98" w:rsidTr="00FB4E98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учреждения (СМИ указываются в п. 17)</w:t>
            </w:r>
          </w:p>
        </w:tc>
        <w:tc>
          <w:tcPr>
            <w:tcW w:w="28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E98" w:rsidRPr="00FB4E98" w:rsidTr="00FB4E98">
        <w:trPr>
          <w:trHeight w:val="189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283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принимается на уровне ожидаемой оценки поселений в пределах объема средств, запланированных в бюджете поселений на текущий год, не </w:t>
            </w:r>
            <w:proofErr w:type="gramStart"/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 фактических</w:t>
            </w:r>
            <w:proofErr w:type="gramEnd"/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за отчетный год</w:t>
            </w:r>
          </w:p>
        </w:tc>
      </w:tr>
      <w:tr w:rsidR="00FB4E98" w:rsidRPr="00FB4E98" w:rsidTr="00FB4E98">
        <w:trPr>
          <w:trHeight w:val="220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РФ об образовании и законодательством РФ о муниципальной службе</w:t>
            </w:r>
          </w:p>
        </w:tc>
        <w:tc>
          <w:tcPr>
            <w:tcW w:w="28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E98" w:rsidRPr="00FB4E98" w:rsidTr="00FB4E98">
        <w:trPr>
          <w:trHeight w:val="189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организация и проведение иных мероприятий, предусмотренных законодательством об энергосбережении и о повышении энергетической эффективности</w:t>
            </w:r>
          </w:p>
        </w:tc>
        <w:tc>
          <w:tcPr>
            <w:tcW w:w="28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E98" w:rsidRPr="00FB4E98" w:rsidTr="00FB4E98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межмуниципальном сотрудничестве</w:t>
            </w:r>
          </w:p>
        </w:tc>
        <w:tc>
          <w:tcPr>
            <w:tcW w:w="28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E98" w:rsidRPr="00FB4E98" w:rsidTr="00FB4E98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доплата к пенсии муниципальным служащим</w:t>
            </w:r>
          </w:p>
        </w:tc>
        <w:tc>
          <w:tcPr>
            <w:tcW w:w="28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E98" w:rsidRPr="00FB4E9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E98" w:rsidRPr="003E0C1C" w:rsidTr="00FB4E98">
        <w:trPr>
          <w:gridAfter w:val="1"/>
          <w:wAfter w:w="1146" w:type="dxa"/>
          <w:trHeight w:val="315"/>
        </w:trPr>
        <w:tc>
          <w:tcPr>
            <w:tcW w:w="7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E98" w:rsidRPr="00FB4E98" w:rsidRDefault="00FB4E98" w:rsidP="003E0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B4E98" w:rsidRPr="00FB4E98" w:rsidRDefault="00FB4E98" w:rsidP="003E0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B4E98" w:rsidRPr="00FB4E98" w:rsidRDefault="00FB4E98" w:rsidP="003E0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B4E98" w:rsidRPr="00FB4E98" w:rsidRDefault="00FB4E98" w:rsidP="003E0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Мэр Слюдянского   муниципального района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</w:t>
            </w:r>
            <w:r w:rsidRPr="00FB4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А.Г.Шульц          </w:t>
            </w:r>
          </w:p>
          <w:p w:rsidR="00FB4E98" w:rsidRPr="00FB4E98" w:rsidRDefault="00FB4E98" w:rsidP="003E0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C1738" w:rsidRDefault="00FB4E98" w:rsidP="00FB4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Председатель Думы </w:t>
            </w:r>
          </w:p>
          <w:p w:rsidR="00DC1738" w:rsidRDefault="00FB4E98" w:rsidP="00DC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Слюдянского  </w:t>
            </w:r>
          </w:p>
          <w:p w:rsidR="00FB4E98" w:rsidRPr="00FB4E98" w:rsidRDefault="00FB4E98" w:rsidP="00DC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DC17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 района</w:t>
            </w:r>
            <w:r w:rsidRPr="00FB4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</w:t>
            </w:r>
            <w:r w:rsidR="00DC17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</w:t>
            </w:r>
            <w:r w:rsidRPr="00FB4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А.В. </w:t>
            </w:r>
            <w:r w:rsidR="00DC17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FB4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иколаев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E98" w:rsidRPr="00FB4E98" w:rsidRDefault="00FB4E98" w:rsidP="003E0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74721" w:rsidRPr="009A3C31" w:rsidRDefault="009A3C31" w:rsidP="003E0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sectPr w:rsidR="00774721" w:rsidRPr="009A3C31" w:rsidSect="00FE302E">
      <w:headerReference w:type="default" r:id="rId6"/>
      <w:pgSz w:w="11905" w:h="16838"/>
      <w:pgMar w:top="1134" w:right="850" w:bottom="709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695" w:rsidRDefault="00EC7695">
      <w:pPr>
        <w:spacing w:after="0" w:line="240" w:lineRule="auto"/>
      </w:pPr>
      <w:r>
        <w:separator/>
      </w:r>
    </w:p>
  </w:endnote>
  <w:endnote w:type="continuationSeparator" w:id="0">
    <w:p w:rsidR="00EC7695" w:rsidRDefault="00EC7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695" w:rsidRDefault="00EC7695">
      <w:pPr>
        <w:spacing w:after="0" w:line="240" w:lineRule="auto"/>
      </w:pPr>
      <w:r>
        <w:separator/>
      </w:r>
    </w:p>
  </w:footnote>
  <w:footnote w:type="continuationSeparator" w:id="0">
    <w:p w:rsidR="00EC7695" w:rsidRDefault="00EC7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48823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C7695" w:rsidRDefault="00EC7695">
        <w:pPr>
          <w:pStyle w:val="a4"/>
          <w:jc w:val="center"/>
        </w:pPr>
      </w:p>
      <w:p w:rsidR="00EC7695" w:rsidRDefault="00EC7695">
        <w:pPr>
          <w:pStyle w:val="a4"/>
          <w:jc w:val="center"/>
        </w:pPr>
      </w:p>
      <w:p w:rsidR="00EC7695" w:rsidRPr="00077F56" w:rsidRDefault="00EC7695">
        <w:pPr>
          <w:pStyle w:val="a4"/>
          <w:jc w:val="center"/>
          <w:rPr>
            <w:rFonts w:ascii="Times New Roman" w:hAnsi="Times New Roman" w:cs="Times New Roman"/>
          </w:rPr>
        </w:pPr>
        <w:r w:rsidRPr="00077F56">
          <w:rPr>
            <w:rFonts w:ascii="Times New Roman" w:hAnsi="Times New Roman" w:cs="Times New Roman"/>
          </w:rPr>
          <w:fldChar w:fldCharType="begin"/>
        </w:r>
        <w:r w:rsidRPr="00077F56">
          <w:rPr>
            <w:rFonts w:ascii="Times New Roman" w:hAnsi="Times New Roman" w:cs="Times New Roman"/>
          </w:rPr>
          <w:instrText>PAGE   \* MERGEFORMAT</w:instrText>
        </w:r>
        <w:r w:rsidRPr="00077F56">
          <w:rPr>
            <w:rFonts w:ascii="Times New Roman" w:hAnsi="Times New Roman" w:cs="Times New Roman"/>
          </w:rPr>
          <w:fldChar w:fldCharType="separate"/>
        </w:r>
        <w:r w:rsidR="00250878">
          <w:rPr>
            <w:rFonts w:ascii="Times New Roman" w:hAnsi="Times New Roman" w:cs="Times New Roman"/>
            <w:noProof/>
          </w:rPr>
          <w:t>5</w:t>
        </w:r>
        <w:r w:rsidRPr="00077F56">
          <w:rPr>
            <w:rFonts w:ascii="Times New Roman" w:hAnsi="Times New Roman" w:cs="Times New Roman"/>
          </w:rPr>
          <w:fldChar w:fldCharType="end"/>
        </w:r>
      </w:p>
    </w:sdtContent>
  </w:sdt>
  <w:p w:rsidR="00EC7695" w:rsidRDefault="00EC76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C31"/>
    <w:rsid w:val="0002542C"/>
    <w:rsid w:val="0006493E"/>
    <w:rsid w:val="000A4987"/>
    <w:rsid w:val="001A5DEB"/>
    <w:rsid w:val="00250878"/>
    <w:rsid w:val="00312EF0"/>
    <w:rsid w:val="00353A20"/>
    <w:rsid w:val="003577A2"/>
    <w:rsid w:val="003E0C1C"/>
    <w:rsid w:val="00447DB5"/>
    <w:rsid w:val="004817BF"/>
    <w:rsid w:val="006C560B"/>
    <w:rsid w:val="006D56CC"/>
    <w:rsid w:val="00774721"/>
    <w:rsid w:val="0087149B"/>
    <w:rsid w:val="008B6C7A"/>
    <w:rsid w:val="008D235A"/>
    <w:rsid w:val="009A3C31"/>
    <w:rsid w:val="00A51334"/>
    <w:rsid w:val="00CE158F"/>
    <w:rsid w:val="00DC1738"/>
    <w:rsid w:val="00E17A94"/>
    <w:rsid w:val="00EA4B77"/>
    <w:rsid w:val="00EC7695"/>
    <w:rsid w:val="00F76259"/>
    <w:rsid w:val="00FB4E98"/>
    <w:rsid w:val="00FE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A11AA"/>
  <w15:docId w15:val="{89AB3E64-8654-4DFE-BBFB-0E5C0254F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C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A3C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3C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9A3C31"/>
    <w:pPr>
      <w:spacing w:after="160" w:line="259" w:lineRule="auto"/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A3C31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A3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C31"/>
  </w:style>
  <w:style w:type="paragraph" w:styleId="a6">
    <w:name w:val="Balloon Text"/>
    <w:basedOn w:val="a"/>
    <w:link w:val="a7"/>
    <w:uiPriority w:val="99"/>
    <w:semiHidden/>
    <w:unhideWhenUsed/>
    <w:rsid w:val="00FE3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30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1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1633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econ11</dc:creator>
  <cp:keywords/>
  <dc:description/>
  <cp:lastModifiedBy>cbar</cp:lastModifiedBy>
  <cp:revision>16</cp:revision>
  <cp:lastPrinted>2021-12-02T08:53:00Z</cp:lastPrinted>
  <dcterms:created xsi:type="dcterms:W3CDTF">2021-11-08T00:56:00Z</dcterms:created>
  <dcterms:modified xsi:type="dcterms:W3CDTF">2022-03-14T03:19:00Z</dcterms:modified>
</cp:coreProperties>
</file>