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F" w:rsidRPr="0077156F" w:rsidRDefault="0077156F" w:rsidP="00771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56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</w:t>
      </w:r>
    </w:p>
    <w:p w:rsidR="0077156F" w:rsidRPr="0077156F" w:rsidRDefault="0077156F" w:rsidP="00771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56F">
        <w:rPr>
          <w:rFonts w:ascii="Times New Roman" w:eastAsia="Times New Roman" w:hAnsi="Times New Roman" w:cs="Times New Roman"/>
          <w:sz w:val="24"/>
          <w:szCs w:val="24"/>
        </w:rPr>
        <w:t>к прогнозу социально-экономического развития</w:t>
      </w:r>
    </w:p>
    <w:p w:rsidR="0077156F" w:rsidRPr="0077156F" w:rsidRDefault="0077156F" w:rsidP="00771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2023 год</w:t>
      </w:r>
    </w:p>
    <w:p w:rsidR="0077156F" w:rsidRPr="0077156F" w:rsidRDefault="0077156F" w:rsidP="00771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56F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2024 и 2025 годов</w:t>
      </w:r>
    </w:p>
    <w:p w:rsidR="0077156F" w:rsidRPr="0077156F" w:rsidRDefault="0077156F" w:rsidP="0077156F">
      <w:pPr>
        <w:tabs>
          <w:tab w:val="left" w:pos="40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7156F" w:rsidRPr="0077156F" w:rsidRDefault="0077156F" w:rsidP="007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56F" w:rsidRPr="0077156F" w:rsidRDefault="0077156F" w:rsidP="007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  <w:proofErr w:type="gramStart"/>
      <w:r w:rsidRPr="0077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77156F" w:rsidRPr="0077156F" w:rsidRDefault="0077156F" w:rsidP="007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прогнозу </w:t>
      </w:r>
      <w:r w:rsidRPr="0077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</w:t>
      </w:r>
      <w:proofErr w:type="spellStart"/>
      <w:r w:rsidRPr="0077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2023 год </w:t>
      </w:r>
    </w:p>
    <w:p w:rsidR="0077156F" w:rsidRPr="0077156F" w:rsidRDefault="0077156F" w:rsidP="007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2024 и 2025 годов</w:t>
      </w:r>
    </w:p>
    <w:p w:rsidR="0077156F" w:rsidRPr="0077156F" w:rsidRDefault="0077156F" w:rsidP="007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2023-2025 годы подготовлен на основе статистических данных, представленных  территориальным органом Федеральной службы государственной статистики по Иркутской области (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Иркутскстат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прогнозных показателей крупных и средних предприятий, малого бизнеса, осуществляющих деятельность на территории района, сценарных условий и основных макроэкономических параметров социально-экономического развития Российской Федерации на 2022-2024 годы, с применением прогноза показателей инфляции, индексов-дефляторов по видам экономической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Бюджетного Кодекса Российской Федерации.</w:t>
      </w: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прогноза социально-экономического развития и параметров прогноза на период до 2025 года  осуществлялась </w:t>
      </w:r>
      <w:r w:rsidRPr="0077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консервативному варианту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выбранного варианта стали нестабильные условия внешней политики в стране, замедление темпов инвестирования,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санкционные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ограничения, ажиотажный спрос населения на ряд продовольственных и непродовольственных товаров, ослабление рубля и ускорение инфляции,</w:t>
      </w:r>
    </w:p>
    <w:p w:rsidR="0077156F" w:rsidRPr="0077156F" w:rsidRDefault="0077156F" w:rsidP="007715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выбор консервативного варианта прогноза связан и с тенденциями прошлых периодов. Так, деятельность администрации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период с 2020 по 2021 годы осложнялась паводком 2019 года,  а также пандемией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начавшейся в 2020 году. Вместе с тем, удалось в целом улучшить социально-экономические результаты и следовать принятой в 2018 году Стратегии социально-экономического развития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 2030 года.</w:t>
      </w: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последствия распространения новой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новых условий внешней политики, которые возникли с февраля 2022 года до конца не определены, сохраняется повышенная неопределенность траектории экономического развития как на кратк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среднесрочном горизонте, которая будет определяться не только экономическими, но и эпидемиологическими факторами. Кроме того, в 2020 году малый бизнес столкнулся с новыми условиями фискальной политики, ввиду отмены одного из самых лояльных налоговых режимов (ЕНВД), что также наложило отпечаток на экономические показатели в прогнозном периоде. Восстановление экономики будет носить неоднородный характер. В условиях нестабильной внешней политики прогноз социально-экономического развития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построен с применением консервативного варианта прогноза социально-экономического развития Российской Федерации.  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экономический спад оказался меньше, чем предполагалось весной, и не таким масштабным, как в ряде других государств и субъектах РФ. Эксперты в первую очередь считают это результатом своевременных мер господдержки бизнеса и населения. Помимо этого, уходящий и текущий год запомнится рекордным снижением ставки ЦБ и ее резким увеличением, колебаниями валютных курсов и ажиотажем на рынке недвижимости и некоторых продовольственных и непродовольственных товаров.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Ключевыми антикризисными мерами властей по адаптации экономики к новым условиям стали: прямые выплаты семьям с детьми и субсидии пострадавшим отраслям экономики, кредитные каникулы, сокращение контрольно-надзорной деятельности, автоматическое продление лицензий и разрешений, упрощение процедур подтверждения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соответствия, упрощены правила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предоставляются гранты и льготные займы предприятиям на выплату зарплат сотрудникам, а также налоговые отсрочки и послабления для компаний и предпринимателей.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государство запустило программу льготной ипотеки под 6,5%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программу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кешбэка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поездки по России для поддержки туризма.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указанным мерам инфляция в России в годовом выражении стабилизировалась на уровне 17,7-17,8% г/г, а ключевая ставка ЦБ снизилась до 14%. 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фоне уверенного роста экономики района в 2021 году отмечается спад вклада предприятий промышленного производства на 1 % в сравнении с 2020 годом до 13%  в отчетном периоде. За 2021 год предприятиями и организациями всех категорий получено выручки от реализации продукции, работ, услуг (в действующих ценах) 14 448,5 млн. рублей или 129,1 % к аналогичному периоду прошлого года. 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выручки произошел по следующим видам экономической деятельности: 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– на 4%;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- на 27%;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 кондиционирование воздуха - на 32%;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водоснабжение, водоотведение, организация сбора и утилизации отходов, деятельность по ликвидации загрязнений – на 30%;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оптовая и розничная; ремонт автотранспортных средств и мотоциклов - на 26 %;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на 75 %;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в 3,7 раз;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в 3,2 раз;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– на 55 %; 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на 2 %;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культуры, спорта, организации досуга и развлечений - на 33 %;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на 6%.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выручки от реализации по полному кругу предприятий наблюдается по видам экономической деятельности: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на 61%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на 11,5%;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информации и связи – на 16 %;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 - на 8,5 %;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Компонентами выручки по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являются: выручка по крупным и средним предприятиям, предприятиям малого бизнеса и оборот розничной торговли. Наряду с ростом выручки от реализации в целом по району, наблюдается и рост отгрузки товаров собственного производства, выполненных работ и услуг собственными силами крупными и средними предприятиями на 30%.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2022 году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данных за первый квартал 2022 года, а также прогнозных значениях предприятий, </w:t>
      </w:r>
      <w:r w:rsidRPr="00771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ожидается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умеренный рост выручки на 3%.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итоговое значение выручки по полному кругу организаций ожидается на уровне 14 903 тысяч рублей.</w:t>
      </w:r>
    </w:p>
    <w:p w:rsidR="0077156F" w:rsidRPr="0077156F" w:rsidRDefault="0077156F" w:rsidP="00771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прогнозируемом периоде 2023-2025 годов в целом по району ожидается нестабильная ситуация от умеренного спада на 2,9% в 2023 году до постепенного роста на 2,8 % к 2025 году.</w:t>
      </w:r>
    </w:p>
    <w:p w:rsidR="0077156F" w:rsidRPr="0077156F" w:rsidRDefault="0077156F" w:rsidP="00771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прогнозируется в основном за счет увеличения выручки в секторе крупного и среднего бизнеса и роста объемов розничной торговли в основном за счет повышения уровня цен и тарифов.</w:t>
      </w:r>
    </w:p>
    <w:p w:rsidR="0077156F" w:rsidRPr="0077156F" w:rsidRDefault="0077156F" w:rsidP="00771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6F" w:rsidRPr="0077156F" w:rsidRDefault="0077156F" w:rsidP="007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Промышленное производство</w:t>
      </w:r>
    </w:p>
    <w:p w:rsidR="0077156F" w:rsidRPr="0077156F" w:rsidRDefault="0077156F" w:rsidP="007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 собственного производства, выполненных работ и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по промышленному производству в 2021 году составил 1895,53 млн. рублей или 123,9 % к аналогичному показателю 2020 года.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физического объема промышленного производства (изменение объема продукции в натуральном выражении) за 2021 год составил 115 % против 94,2 %  аналогичного периода прошлого года, тем самым выйдя на уровень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доковидного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 позиции роста (с 2016 года) сохранялись до 2019 года только в секторе производства макаронных изделий, однако в 2020 году их падение составило 41%. В период с 2018 года по 2020 год наблюдается снижение объемов выпускаемой продукции обрабатывающего производства, в том числе на предприятиях, осуществляющих выпуск хлебобулочных изделий и кондитерских изделий;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2018-2019 гг. – снижение выпуска макаронных изделий. Неустойчивые позиции наблюдаются в сфере добычи полезных ископаемых, обеспечения электрической энергией, газом и паром, производстве бутилированной воды. 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2021 год характеризуется подъемом производства по всем видам производимой в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продукции, кроме хлеба и хлебобулочных изделий.</w:t>
      </w:r>
    </w:p>
    <w:p w:rsidR="0077156F" w:rsidRPr="0077156F" w:rsidRDefault="0077156F" w:rsidP="007715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675" cy="3143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6F" w:rsidRPr="0077156F" w:rsidRDefault="0077156F" w:rsidP="007715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5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156F" w:rsidRPr="0077156F" w:rsidRDefault="0077156F" w:rsidP="007715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56F">
        <w:rPr>
          <w:rFonts w:ascii="Times New Roman" w:eastAsia="Times New Roman" w:hAnsi="Times New Roman" w:cs="Times New Roman"/>
          <w:sz w:val="28"/>
          <w:szCs w:val="20"/>
        </w:rPr>
        <w:tab/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это, выпускаемая на территории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собственная продукция, по-прежнему, способна полностью обеспечить население района макаронными изделиями, а также питьевой водой</w:t>
      </w:r>
      <w:r w:rsidRPr="00771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56F" w:rsidRPr="0077156F" w:rsidRDefault="0077156F" w:rsidP="007715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56F" w:rsidRPr="0077156F" w:rsidRDefault="0077156F" w:rsidP="007715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77156F" w:rsidRPr="0077156F" w:rsidRDefault="0077156F" w:rsidP="007715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object w:dxaOrig="4532" w:dyaOrig="4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96" o:spid="_x0000_i1026" type="#_x0000_t75" style="width:226.5pt;height:246pt;visibility:visible">
            <v:imagedata r:id="rId8" o:title=""/>
            <o:lock v:ext="edit" aspectratio="f"/>
          </v:shape>
        </w:object>
      </w:r>
      <w:r w:rsidRPr="0077156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object w:dxaOrig="4714" w:dyaOrig="4925">
          <v:shape id="Диаграмма 97" o:spid="_x0000_i1027" type="#_x0000_t75" style="width:235.5pt;height:246pt;visibility:visible">
            <v:imagedata r:id="rId9" o:title=""/>
            <o:lock v:ext="edit" aspectratio="f"/>
          </v:shape>
        </w:object>
      </w:r>
    </w:p>
    <w:p w:rsidR="0077156F" w:rsidRPr="0077156F" w:rsidRDefault="0077156F" w:rsidP="007715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156F" w:rsidRPr="0077156F" w:rsidRDefault="0077156F" w:rsidP="0077156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56F">
        <w:rPr>
          <w:rFonts w:ascii="Times New Roman" w:eastAsia="Times New Roman" w:hAnsi="Times New Roman" w:cs="Times New Roman"/>
          <w:sz w:val="24"/>
          <w:szCs w:val="24"/>
        </w:rPr>
        <w:t>Добыча полезных ископаемых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добычи полезных ископаемых на территории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итогам 2021 года характеризуется ростом объемов производства. К числу предприятий, ведущих добычу полезных ископаемых, относятся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Ангасольский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щебеночный завод (филиал АО «Первая нерудная компания») и обособленное подразделение «Карьер Перевал» АО «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Ангарскцемент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156F" w:rsidRPr="0077156F" w:rsidRDefault="0077156F" w:rsidP="007715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Индекс физического объема по отрасли составил 117,35 % (за 2020 г. – 93,8 %). Рост данного показателя обусловлен увеличением на 20% объемов добычи </w:t>
      </w:r>
      <w:proofErr w:type="spell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цемсырья</w:t>
      </w:r>
      <w:proofErr w:type="spell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обособленным подразделением «Карьер Перевал». Увеличение добычи оказало влияние на рост объемов отгруженных товаров собственного производства, выполненных работ и услуг в действующих ценах на 4 % в сравнении с 2021 годом и составил 369,952 млн. руб.</w:t>
      </w:r>
    </w:p>
    <w:p w:rsidR="0077156F" w:rsidRPr="0077156F" w:rsidRDefault="0077156F" w:rsidP="0077156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оценке 2022 года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предприятиями прогнозируется снижение добычи щебня 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цемсырья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6,3% по отношению к 2021 году, в связи с чем, в 2022 году ожидается, что индекс промышленного производства в добыче составит 93,7%.</w:t>
      </w:r>
    </w:p>
    <w:p w:rsidR="0077156F" w:rsidRPr="0077156F" w:rsidRDefault="0077156F" w:rsidP="0077156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56F" w:rsidRPr="0077156F" w:rsidRDefault="0077156F" w:rsidP="00771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Обрабатывающие производства</w:t>
      </w:r>
    </w:p>
    <w:p w:rsidR="0077156F" w:rsidRPr="0077156F" w:rsidRDefault="0077156F" w:rsidP="00771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производится выпуск пищевой продукции, во многом развитие данной отрасли обусловлено нахождению большей части территории в ЦЭЗ БПТ, предполагающей развитие экономики преимущественно в секторе «зеленой» экономики. Так, в настоящее время на территории </w:t>
      </w:r>
      <w:proofErr w:type="spell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производится выпуск макаронных, хлебобулочных, кондитерских изделий, выпуск бутилированной воды и напитков</w:t>
      </w:r>
      <w:r w:rsidRPr="007715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объемов отгруженных товаров (работ, услуг) в целом по обрабатывающим производствам на 27% по итогам 2021 года обусловлено увеличением объемов производства в целом по отрасли на 25%, в том числе: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предприятиями по розливу воды – на 13,4%; 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производством мучных кондитерских изделий – на 12,6%;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макаронных изделий – в 2 раза.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 же время производство хлебобулочных изделий недлительного хранения сократилось на 30%. </w:t>
      </w:r>
    </w:p>
    <w:p w:rsidR="0077156F" w:rsidRPr="0077156F" w:rsidRDefault="0077156F" w:rsidP="007715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Предполагается, что </w:t>
      </w:r>
      <w:r w:rsidRPr="007715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начале</w:t>
      </w: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15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прогнозного периода</w:t>
      </w: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(2023 год) произойдет незначительный спад на 0.7% индекса промышленного производства, а в перспективе (до 2025 года) удастся достигнуть роста в среднем на 1,3% - это обусловлено принимаемыми мерами по созданию благоприятных условий для развития предприятий пищевой </w:t>
      </w: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промышленности посредством реализации комплекса мер поддержки и создаваемым Индустриальным парком в моногороде Байкальск.  </w:t>
      </w:r>
      <w:proofErr w:type="gramEnd"/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56F" w:rsidRPr="0077156F" w:rsidRDefault="0077156F" w:rsidP="0077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</w:t>
      </w:r>
    </w:p>
    <w:p w:rsidR="0077156F" w:rsidRPr="0077156F" w:rsidRDefault="0077156F" w:rsidP="0077156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кондиционирование воздуха</w:t>
      </w:r>
    </w:p>
    <w:p w:rsidR="0077156F" w:rsidRPr="0077156F" w:rsidRDefault="0077156F" w:rsidP="0077156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2021 года объем отгруженных товаров собственного производства сектора по обеспечению электрической энергией, газом и паром;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кондиционирование воздуха вырос к предыдущему периоду на 32 %. Индекс промышленного производства  по данному виду экономической деятельности вырос и составил 105,59 %. При анализе компонентов данного вида экономической деятельности индекс промышленного производства по электроэнергии составил 114,9%, по производству тепла котельными – 88,2 %, по производству тепла ТЭЦ – 95,9%. Данная тенденция объясняется установкой счетчиков при одновременном росте тарифов.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объемов электроэнергии связан с деятельностью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майнинговых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ферм. 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прогнозном периоде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тенденции сохранятся.</w:t>
      </w:r>
    </w:p>
    <w:p w:rsidR="0077156F" w:rsidRPr="0077156F" w:rsidRDefault="0077156F" w:rsidP="007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156F" w:rsidRPr="0077156F" w:rsidRDefault="0077156F" w:rsidP="007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Потребительский рынок</w:t>
      </w:r>
    </w:p>
    <w:p w:rsidR="0077156F" w:rsidRPr="0077156F" w:rsidRDefault="0077156F" w:rsidP="00771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Сеть предприятий розничной торговли на территории района по состоянию на 1 января 2022 года составила  404 единицы (54 - продовольственных магазинов, 104 – непродовольственных магазинов, 56 – универсальных магазинов, 146 - павильонов, 26 – киосков, 17 – супермаркетов, торговых домов, 1 – объект мобильной торговли). В 2021 году на территории муниципального района было открыто 2 предприятия торговли. Количество объектов торговли осталось на уровне 2020 года.</w:t>
      </w:r>
    </w:p>
    <w:p w:rsidR="0077156F" w:rsidRPr="0077156F" w:rsidRDefault="0077156F" w:rsidP="00771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Оборот розничной торговли</w:t>
      </w:r>
      <w:r w:rsidRPr="0077156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Слюдянском</w:t>
      </w:r>
      <w:proofErr w:type="spell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 за 9 месяцев 2021 год вырос на 15,5 % в сравнении с аналогичным периодом прошлого года и составил в денежном выражении 4605,235 млн. рублей. На душу населения муниципального района данный показатель составил 13122,00 рублей в месяц (в 2020 году – 10401,1 рублей в месяц). Среди 42 муниципальных образований Иркутский области, по данному показателю </w:t>
      </w:r>
      <w:proofErr w:type="spell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 занимает 8 место (в 2020 году – 11 место). </w:t>
      </w:r>
      <w:proofErr w:type="spell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Среднеобластной</w:t>
      </w:r>
      <w:proofErr w:type="spell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за 9 месяцев 2021 года составляет 15803,6 рублей (в 2020 году – 13087,1 рублей). По показателю индекс оборота розничной торговли в 2021 году </w:t>
      </w:r>
      <w:proofErr w:type="spell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занимает 2 место с индексом роста 115,5 % (в 2020 году – 3 место), </w:t>
      </w:r>
      <w:proofErr w:type="spell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среднеобластной</w:t>
      </w:r>
      <w:proofErr w:type="spell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– 110,6%.</w:t>
      </w:r>
    </w:p>
    <w:p w:rsidR="0077156F" w:rsidRPr="0077156F" w:rsidRDefault="0077156F" w:rsidP="00771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мер, способствующих сдерживанию роста цен, являлась организация на территории муниципального образования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регулярных ярмарок (ярмарок выходного дня, сезонных ярмарок по продаже сельскохозяйственной продукции), где сельхозпроизводители, товаропроизводители реализовывали продукты питания по ценам 10-15% ниже сложившихся на потребительском рынке. В 2021 году было проведено 3 постоянно действующих ярмарки,  4 сезонных ярмарки, 5 праздничных ярмарок, 2 ярмарки «выходного дня». Общее количество предоставляемых мест для торговли составило 328 единиц. В 2021 году на территории муниципального района действовало 14 социально-ориентированных предприятий потребительского рынка, в которых осуществлялась реализация продовольственных товаров по ценам ниже среднерыночных на 10-15%. Снижение количества проводимых ярмарок, связано в первую очередь, с введенными ограничениями в условиях пандемии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77156F" w:rsidRPr="0077156F" w:rsidRDefault="0077156F" w:rsidP="00771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на потребительском рынке  контролировалась через еженедельный мониторинг динамики цен на основные продукты питания.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Кроме того, развитие форматов торговли очень неоднородно по территории муниципального района. Например, на долю городов </w:t>
      </w:r>
      <w:proofErr w:type="spellStart"/>
      <w:r w:rsidRPr="0077156F">
        <w:rPr>
          <w:rFonts w:ascii="Times New Roman" w:eastAsia="Times New Roman" w:hAnsi="Times New Roman" w:cs="Calibri"/>
          <w:sz w:val="24"/>
          <w:szCs w:val="24"/>
          <w:lang w:eastAsia="ru-RU"/>
        </w:rPr>
        <w:t>Слюдянки</w:t>
      </w:r>
      <w:proofErr w:type="spellEnd"/>
      <w:r w:rsidRPr="0077156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Байкальска приходится более 70%  объектов торговли. В то же время отдаленные и труднодоступные территории </w:t>
      </w:r>
      <w:r w:rsidRPr="0077156F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муниципального района имеют острый дефицит торговых объектов (вплоть до полного их отсутствия, например </w:t>
      </w:r>
      <w:proofErr w:type="spellStart"/>
      <w:r w:rsidRPr="0077156F">
        <w:rPr>
          <w:rFonts w:ascii="Times New Roman" w:eastAsia="Times New Roman" w:hAnsi="Times New Roman" w:cs="Calibri"/>
          <w:sz w:val="24"/>
          <w:szCs w:val="24"/>
          <w:lang w:eastAsia="ru-RU"/>
        </w:rPr>
        <w:t>Маритуйское</w:t>
      </w:r>
      <w:proofErr w:type="spellEnd"/>
      <w:r w:rsidRPr="0077156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сельское поселение).</w:t>
      </w:r>
    </w:p>
    <w:p w:rsidR="0077156F" w:rsidRPr="0077156F" w:rsidRDefault="0077156F" w:rsidP="00771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потребительском рынке муниципального района осуществляют деятельность 90 общедоступных предприятия общественного питания с общим количеством посадочных мест 3533  единицы, в том числе: ресторанов – 4, кафе – 55, бары – 10, закусочные – 3, предприятия быстрого обслуживания – 11, кафетерии – 2, магазины (отделы) кулинарии – 5, буфеты - 1. В сравнении с 2020 годом количество объектов общественного питания выросло в 2021 году на 5,9%.</w:t>
      </w:r>
    </w:p>
    <w:p w:rsidR="0077156F" w:rsidRPr="0077156F" w:rsidRDefault="0077156F" w:rsidP="00771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2021 года оборот общественного питания составил 221,446 млн. руб., индекс физического объема – 140,6 % к уровню 2020 года и на душу населения в месяц  составил 631,0 рублей в месяц, что на 52,38 % выше показателя 2020 года (в 2020 году – 414,1 рублей).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Среднеобластной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составляет 446,7 рублей.</w:t>
      </w: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Среднеобластной</w:t>
      </w:r>
      <w:proofErr w:type="spell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индекс физического объема за 2021 год составил 134%. Среди 42 муниципальных образований Иркутский области, по данному показателю муниципальное образование </w:t>
      </w:r>
      <w:proofErr w:type="spell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занимает 4 место (в 2020 году – 7 место).</w:t>
      </w:r>
    </w:p>
    <w:p w:rsidR="0077156F" w:rsidRPr="0077156F" w:rsidRDefault="0077156F" w:rsidP="00771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развития потребительского рынка в отчетном периоде являлись:</w:t>
      </w:r>
    </w:p>
    <w:p w:rsidR="0077156F" w:rsidRPr="0077156F" w:rsidRDefault="0077156F" w:rsidP="0077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удовлетворения спроса населения на потребительские товары и услуги, в том числе и в условиях пандемии;</w:t>
      </w:r>
    </w:p>
    <w:p w:rsidR="0077156F" w:rsidRPr="0077156F" w:rsidRDefault="0077156F" w:rsidP="0077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качества товаров и услуг и безопасность их предоставления;</w:t>
      </w:r>
    </w:p>
    <w:p w:rsidR="0077156F" w:rsidRPr="0077156F" w:rsidRDefault="0077156F" w:rsidP="0077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доступа к товарам и услугам всех социальных групп населения  муниципального образования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</w:t>
      </w:r>
    </w:p>
    <w:p w:rsidR="0077156F" w:rsidRPr="0077156F" w:rsidRDefault="0077156F" w:rsidP="0077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местного производителя потребительских товаров и услуг.</w:t>
      </w:r>
    </w:p>
    <w:p w:rsidR="0077156F" w:rsidRPr="0077156F" w:rsidRDefault="0077156F" w:rsidP="00771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прогнозным данным на 2022 год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ожидается снижение оборота розничной торговли на 9,6 с последующим восстановлением темпа роста к 2024-2025 году до 104,9-101,9% соответственно.</w:t>
      </w:r>
    </w:p>
    <w:p w:rsidR="0077156F" w:rsidRPr="0077156F" w:rsidRDefault="0077156F" w:rsidP="007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6F" w:rsidRPr="0077156F" w:rsidRDefault="0077156F" w:rsidP="007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Малый бизнес</w:t>
      </w:r>
    </w:p>
    <w:p w:rsidR="0077156F" w:rsidRPr="0077156F" w:rsidRDefault="0077156F" w:rsidP="007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6F" w:rsidRPr="0077156F" w:rsidRDefault="0077156F" w:rsidP="007715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 играют важную экономическую и социальную роль в развитии экономики в целом. Важно отметить, что субъекты малого и среднего предпринимательства (далее – СМСП) также создают рабочие места для населения страны, что весьма важно для государства в направлении обеспечения занятости населения и в борьбе с безработицей.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малого и среднего бизнеса в России остается достаточно сложным и говорить о восстановлении до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доковидного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пока не приходится, это связано с тем, что господдержка сектора недостаточна для его полноценного развития.  Пандемия,  ограничения деятельности, отмена ЕНВД и новые условия альтернативных налоговых режимов, обязательная маркировка продукции, названия товаров и услуг в чеках — все это оказало негативное влияние  на предпринимательскую деятельность в 2021 году. В 2022 году ситуация ухудшилась нестабильной внешней политикой и экономической ситуацией.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году  администрацией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продолжается проводиться политика в области развития малого и среднего предпринимательства, направленная на обеспечение реализации целей и принципов, установленных Федеральным законодательством и Стратегией социально-экономического развития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 2030 года.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81915</wp:posOffset>
            </wp:positionV>
            <wp:extent cx="3094355" cy="22193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01.01.2022 г. на территории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зарегистрировано 278 юридических лиц (к 281 субъектам аналогичного периода прошлого года – снижение на 1,1%) и 744 индивидуальных предпринимателей (к 759 субъектам аналогичного периода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прошлого года – снижение на 2 %). Всего 1022 субъекта.</w:t>
      </w:r>
    </w:p>
    <w:p w:rsidR="0077156F" w:rsidRPr="0077156F" w:rsidRDefault="0077156F" w:rsidP="0077156F">
      <w:pPr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учетом данных, в расчете на 1000 жителей муниципального района приходится 7 малых предприятий (юридических лиц и за исключением средних), что соответствует уровню прошлого года.</w:t>
      </w:r>
    </w:p>
    <w:p w:rsidR="0077156F" w:rsidRPr="0077156F" w:rsidRDefault="0077156F" w:rsidP="0077156F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количество малых и средних предприятий (ЮЛ и ИП) сосредоточено в сфере оказания услуг торговли – 42,2 %, в сфере транспортировки и хранении – 9,4 %, деятельности гостиниц и предприятий общественного питания – 8,4%, в строительстве – 7,5%, на обрабатывающем производстве  – 5%, деятельности операций с недвижимым имуществом – 5%, в административной деятельности и сопутствующих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слугах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4,2%, предоставление прочих видов услуг  - 4%, деятельность профессиональная, научная и техническая – 3,6%.</w:t>
      </w:r>
    </w:p>
    <w:p w:rsidR="0077156F" w:rsidRPr="0077156F" w:rsidRDefault="0077156F" w:rsidP="0077156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года, представлено в диаграмме:</w:t>
      </w:r>
    </w:p>
    <w:p w:rsidR="0077156F" w:rsidRPr="0077156F" w:rsidRDefault="0077156F" w:rsidP="0077156F">
      <w:pPr>
        <w:tabs>
          <w:tab w:val="left" w:pos="6600"/>
        </w:tabs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156F" w:rsidRPr="0077156F" w:rsidRDefault="0077156F" w:rsidP="0077156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6200775" cy="3429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6F" w:rsidRPr="0077156F" w:rsidRDefault="0077156F" w:rsidP="0077156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6F" w:rsidRPr="0077156F" w:rsidRDefault="0077156F" w:rsidP="0077156F">
      <w:pPr>
        <w:spacing w:after="0" w:line="0" w:lineRule="atLeast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56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России сектор малого и среднего предпринимательства предоставляет рабочие места всего лишь 20% трудоспособного населения. Доля занятых в малом бизнесе от общего количества занятых в экономике </w:t>
      </w:r>
      <w:proofErr w:type="spellStart"/>
      <w:r w:rsidRPr="0077156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 выше среднероссийских показателей на 3,6%, однако, все еще является недостаточно высоким показателем. На основании этих данных </w:t>
      </w:r>
      <w:proofErr w:type="gramStart"/>
      <w:r w:rsidRPr="0077156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заметно существенное</w:t>
      </w:r>
      <w:proofErr w:type="gramEnd"/>
      <w:r w:rsidRPr="0077156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отставание сектора малого и среднего бизнеса России от других стран, что говорит о необходимости его развития. </w:t>
      </w:r>
      <w:proofErr w:type="gramStart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Численность работающих в сфере малого бизнеса </w:t>
      </w:r>
      <w:proofErr w:type="spellStart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за отчетный период снижена на 4% или 126 человек и составляет 3127 человек.</w:t>
      </w:r>
      <w:proofErr w:type="gramEnd"/>
    </w:p>
    <w:p w:rsidR="0077156F" w:rsidRPr="0077156F" w:rsidRDefault="0077156F" w:rsidP="007715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поступления в бюджет района по специальным режимам налогообложения от субъектов малого и среднего предпринимательства составили в консолидированном бюджете муниципального района 44,306 млн. рублей или 8,6% всех налоговых и неналоговых доходов бюджета (к 26,386 млн. рублей, или  6,4% соответственно). Доля налоговых поступлений по специальным режимам налогообложения от субъектов малого и среднего предпринимательства в налоговых доходах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выросла по сравнению с 2020 годом на 5,4 процентных пункта и составила 16,9%.</w:t>
      </w:r>
    </w:p>
    <w:p w:rsidR="0077156F" w:rsidRPr="0077156F" w:rsidRDefault="0077156F" w:rsidP="007715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388"/>
        <w:gridCol w:w="1183"/>
        <w:gridCol w:w="1168"/>
      </w:tblGrid>
      <w:tr w:rsidR="0077156F" w:rsidRPr="0077156F" w:rsidTr="00EF7D95">
        <w:trPr>
          <w:trHeight w:val="380"/>
        </w:trPr>
        <w:tc>
          <w:tcPr>
            <w:tcW w:w="882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388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2021, млн.</w:t>
            </w:r>
          </w:p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83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2020, млн.</w:t>
            </w:r>
          </w:p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руб.</w:t>
            </w:r>
          </w:p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Динамика 2021/2020</w:t>
            </w:r>
          </w:p>
        </w:tc>
      </w:tr>
      <w:tr w:rsidR="0077156F" w:rsidRPr="0077156F" w:rsidTr="00EF7D95">
        <w:trPr>
          <w:trHeight w:val="380"/>
        </w:trPr>
        <w:tc>
          <w:tcPr>
            <w:tcW w:w="882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ЕНВД</w:t>
            </w:r>
          </w:p>
        </w:tc>
        <w:tc>
          <w:tcPr>
            <w:tcW w:w="1388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183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12,791</w:t>
            </w:r>
          </w:p>
        </w:tc>
        <w:tc>
          <w:tcPr>
            <w:tcW w:w="1168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77156F" w:rsidRPr="0077156F" w:rsidTr="00EF7D95">
        <w:trPr>
          <w:trHeight w:val="190"/>
        </w:trPr>
        <w:tc>
          <w:tcPr>
            <w:tcW w:w="882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Патент </w:t>
            </w:r>
          </w:p>
        </w:tc>
        <w:tc>
          <w:tcPr>
            <w:tcW w:w="1388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11,155</w:t>
            </w:r>
          </w:p>
        </w:tc>
        <w:tc>
          <w:tcPr>
            <w:tcW w:w="1183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168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36 раз</w:t>
            </w:r>
          </w:p>
        </w:tc>
      </w:tr>
      <w:tr w:rsidR="0077156F" w:rsidRPr="0077156F" w:rsidTr="00EF7D95">
        <w:trPr>
          <w:trHeight w:val="190"/>
        </w:trPr>
        <w:tc>
          <w:tcPr>
            <w:tcW w:w="882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388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0,19862</w:t>
            </w:r>
          </w:p>
        </w:tc>
        <w:tc>
          <w:tcPr>
            <w:tcW w:w="1183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0,00456</w:t>
            </w:r>
          </w:p>
        </w:tc>
        <w:tc>
          <w:tcPr>
            <w:tcW w:w="1168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44 раза</w:t>
            </w:r>
          </w:p>
        </w:tc>
      </w:tr>
      <w:tr w:rsidR="0077156F" w:rsidRPr="0077156F" w:rsidTr="00EF7D95">
        <w:trPr>
          <w:trHeight w:val="190"/>
        </w:trPr>
        <w:tc>
          <w:tcPr>
            <w:tcW w:w="882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388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28,716</w:t>
            </w:r>
          </w:p>
        </w:tc>
        <w:tc>
          <w:tcPr>
            <w:tcW w:w="1183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13,283</w:t>
            </w:r>
          </w:p>
        </w:tc>
        <w:tc>
          <w:tcPr>
            <w:tcW w:w="1168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2,2 раз</w:t>
            </w:r>
          </w:p>
        </w:tc>
      </w:tr>
    </w:tbl>
    <w:p w:rsidR="0077156F" w:rsidRPr="0077156F" w:rsidRDefault="0077156F" w:rsidP="0077156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налоговых поступлений</w:t>
      </w: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 режимам налогообложения</w:t>
      </w: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года к 2020 году составил 168%. </w:t>
      </w:r>
      <w:r w:rsidRPr="00771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Рост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поступлений по специальным режимам налогообложения произошел по ряду причин, основными из которых стали отмена ЕНВД и переход субъектов предпринимательской деятельности на режим УСН  (на 31,8% увеличено число плательщиков УСН) и патентную систему налогообложения (число плательщиков возросло в 5,8 раз).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произошло увеличение нормативов отчислений по УСН с 30% до 38,778% в местный бюджет.</w:t>
      </w:r>
    </w:p>
    <w:p w:rsidR="0077156F" w:rsidRPr="0077156F" w:rsidRDefault="0077156F" w:rsidP="007715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254"/>
        <w:gridCol w:w="1203"/>
        <w:gridCol w:w="1381"/>
      </w:tblGrid>
      <w:tr w:rsidR="0077156F" w:rsidRPr="0077156F" w:rsidTr="00EF7D95">
        <w:trPr>
          <w:trHeight w:val="1290"/>
        </w:trPr>
        <w:tc>
          <w:tcPr>
            <w:tcW w:w="1075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254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Выручка МСП (ЮЛ), </w:t>
            </w:r>
            <w:proofErr w:type="spellStart"/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млн</w:t>
            </w:r>
            <w:proofErr w:type="gramStart"/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.р</w:t>
            </w:r>
            <w:proofErr w:type="gramEnd"/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уб</w:t>
            </w:r>
            <w:proofErr w:type="spellEnd"/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3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Динамика темпа к 2014 г.,%</w:t>
            </w:r>
          </w:p>
        </w:tc>
        <w:tc>
          <w:tcPr>
            <w:tcW w:w="1381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Темп роста к </w:t>
            </w:r>
            <w:proofErr w:type="spellStart"/>
            <w:proofErr w:type="gramStart"/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предыду-щему</w:t>
            </w:r>
            <w:proofErr w:type="spellEnd"/>
            <w:proofErr w:type="gramEnd"/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периоду,%</w:t>
            </w:r>
          </w:p>
        </w:tc>
      </w:tr>
      <w:tr w:rsidR="0077156F" w:rsidRPr="0077156F" w:rsidTr="00EF7D95">
        <w:trPr>
          <w:trHeight w:val="339"/>
        </w:trPr>
        <w:tc>
          <w:tcPr>
            <w:tcW w:w="1075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54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1571,86</w:t>
            </w:r>
          </w:p>
        </w:tc>
        <w:tc>
          <w:tcPr>
            <w:tcW w:w="1203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156F" w:rsidRPr="0077156F" w:rsidTr="00EF7D95">
        <w:trPr>
          <w:trHeight w:val="316"/>
        </w:trPr>
        <w:tc>
          <w:tcPr>
            <w:tcW w:w="1075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54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1708,57</w:t>
            </w:r>
          </w:p>
        </w:tc>
        <w:tc>
          <w:tcPr>
            <w:tcW w:w="1203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381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77156F" w:rsidRPr="0077156F" w:rsidTr="00EF7D95">
        <w:trPr>
          <w:trHeight w:val="316"/>
        </w:trPr>
        <w:tc>
          <w:tcPr>
            <w:tcW w:w="1075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54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1779,06</w:t>
            </w:r>
          </w:p>
        </w:tc>
        <w:tc>
          <w:tcPr>
            <w:tcW w:w="1203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381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77156F" w:rsidRPr="0077156F" w:rsidTr="00EF7D95">
        <w:trPr>
          <w:trHeight w:val="316"/>
        </w:trPr>
        <w:tc>
          <w:tcPr>
            <w:tcW w:w="1075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4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1814,64</w:t>
            </w:r>
          </w:p>
        </w:tc>
        <w:tc>
          <w:tcPr>
            <w:tcW w:w="1203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381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77156F" w:rsidRPr="0077156F" w:rsidTr="00EF7D95">
        <w:trPr>
          <w:trHeight w:val="316"/>
        </w:trPr>
        <w:tc>
          <w:tcPr>
            <w:tcW w:w="1075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4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1854,56</w:t>
            </w:r>
          </w:p>
        </w:tc>
        <w:tc>
          <w:tcPr>
            <w:tcW w:w="1203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81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77156F" w:rsidRPr="0077156F" w:rsidTr="00EF7D95">
        <w:trPr>
          <w:trHeight w:val="316"/>
        </w:trPr>
        <w:tc>
          <w:tcPr>
            <w:tcW w:w="1075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54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1746,99</w:t>
            </w:r>
          </w:p>
        </w:tc>
        <w:tc>
          <w:tcPr>
            <w:tcW w:w="1203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381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77156F" w:rsidRPr="0077156F" w:rsidTr="00EF7D95">
        <w:trPr>
          <w:trHeight w:val="316"/>
        </w:trPr>
        <w:tc>
          <w:tcPr>
            <w:tcW w:w="1075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4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1654,4</w:t>
            </w:r>
          </w:p>
        </w:tc>
        <w:tc>
          <w:tcPr>
            <w:tcW w:w="1203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381" w:type="dxa"/>
            <w:shd w:val="clear" w:color="auto" w:fill="D8D8D8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77156F" w:rsidRPr="0077156F" w:rsidTr="00EF7D95">
        <w:trPr>
          <w:trHeight w:val="316"/>
        </w:trPr>
        <w:tc>
          <w:tcPr>
            <w:tcW w:w="1075" w:type="dxa"/>
            <w:shd w:val="clear" w:color="auto" w:fill="4BACC6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4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2216,7</w:t>
            </w:r>
          </w:p>
        </w:tc>
        <w:tc>
          <w:tcPr>
            <w:tcW w:w="1203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81" w:type="dxa"/>
            <w:shd w:val="clear" w:color="auto" w:fill="auto"/>
          </w:tcPr>
          <w:p w:rsidR="0077156F" w:rsidRPr="0077156F" w:rsidRDefault="0077156F" w:rsidP="0077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5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</w:tbl>
    <w:p w:rsidR="0077156F" w:rsidRPr="0077156F" w:rsidRDefault="0077156F" w:rsidP="0077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Выручка малого бизнеса (ЮЛ и ИП) за 2021 год составила 2216,7 млн. рублей к 1654,4 млн. руб. аналогичного периода прошлого года, таким образом, темп роста составил 134%. </w:t>
      </w: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Выручка малого и среднего бизнеса </w:t>
      </w:r>
      <w:proofErr w:type="spellStart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 структуре всей выручки </w:t>
      </w:r>
      <w:proofErr w:type="spellStart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составляет </w:t>
      </w:r>
      <w:r w:rsidRPr="0077156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15</w:t>
      </w: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>%, что практически на уровне 2020 года (14,5%), тогда как в 2017-2018 годах доля составляла 18,5%.</w:t>
      </w:r>
      <w:proofErr w:type="gramEnd"/>
    </w:p>
    <w:p w:rsidR="0077156F" w:rsidRPr="0077156F" w:rsidRDefault="0077156F" w:rsidP="0077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Такая тенденция наблюдается и в целом по России. Доля малого бизнеса в общем обороте малых, средних и крупных предприятий в 2021 году достигла </w:t>
      </w:r>
      <w:proofErr w:type="spellStart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>антирекордного</w:t>
      </w:r>
      <w:proofErr w:type="spellEnd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уровня 2008 года. Основная причина снижения доли малых предприятий – в опережающем росте оборота крупного бизнеса, что связано с повышением цен на сырьевые товары. Малый бизнес </w:t>
      </w:r>
      <w:proofErr w:type="gramStart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>зависит</w:t>
      </w:r>
      <w:proofErr w:type="gramEnd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прежде всего от того, насколько платежеспособно население: его доходы практически не увеличились, тогда как сырье подорожало. Если потребительские цены выросли на 8,1%, то стоимость промышленных товаров с начала года увеличилась на 23%,  а доходы населения увеличились лишь на 3,1%. Рентабельность МСП снижается, из-за чего в будущем его доля может продолжить размываться.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снижение доли малого бизнеса также повлиял и высокий уровень активности ИП 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56F" w:rsidRPr="0077156F" w:rsidRDefault="0077156F" w:rsidP="007715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 поддержке СМСП на уровне Российской Федерации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отчетном периоде продолжают </w:t>
      </w:r>
      <w:proofErr w:type="gramStart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>действовать</w:t>
      </w:r>
      <w:proofErr w:type="gramEnd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введены следующие меры поддержки субъектов малого и среднего предпринимательства: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Снижение страховых взносов с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года. Совокупный размер тарифа страховых взносов на ОПС,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ОМС уменьшен с 30% до 15%.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Компенсация банковских комиссий.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МСП </w:t>
      </w:r>
      <w:hyperlink r:id="rId12" w:history="1">
        <w:r w:rsidRPr="00771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могут вернуть</w:t>
        </w:r>
      </w:hyperlink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уплаченные через систему быстрых платежей в период с 1 июля 2021 года по 1 июля 2022 года при покупках физлиц. Такая возможность есть у клиентов некоторых банков.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Освобождение от плановых проверок (только для малого бизнеса).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запретило включать субъектов малого предпринимательства в ежегодные планы проверок на </w:t>
      </w:r>
      <w:hyperlink r:id="rId13" w:history="1">
        <w:r w:rsidRPr="00771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2021</w:t>
        </w:r>
      </w:hyperlink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771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2022</w:t>
        </w:r>
      </w:hyperlink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но предусмотрен ряд исключений.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Скидка 50% на российское облачное программное обеспечение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включения в реестр МСП.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Постановлением Правительства Российской Федерации от 07.09.2021 № 1513 утверждены Правила предоставления из федерального бюджета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ред. Постановления Правительства РФ от 28.10.2021 N 1849).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 1 ноября по 30 декабря 2021 года для компаний МСП и СОНКО в 30 российских банках возобновлена выдача льготных кредитов по ставке 3% годовых на срок не более 18 месяцев на восстановление предпринимательской деятельности.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по поддержке СМСП администрации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7156F" w:rsidRPr="0077156F" w:rsidRDefault="0077156F" w:rsidP="0077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поддержки представителей малого и среднего предпринимательства на территории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 деятельность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«Фонд микрокредитования и поддержки субъектов малого и среднего предпринимательства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учредителем которой является администрация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Фонд реализует механизмы финансовой поддержки СМСП, что на сегодняшний день является одной из немногих доступных форм финансовой поддержки малого бизнеса в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Благодаря принятию новых бизнес-ориентированных условий предоставления займов в 2021 году, Фондом была оказана финансовая поддержка в виде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представителям предпринимательского сообщества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 общую сумму 3 470 тыс. рублей, в том числе по программе льготного финансирования (приоритетные виды деятельности для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  заключено 3 договора займа с субъектами МСП на общую сумму 900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56F" w:rsidRPr="0077156F" w:rsidRDefault="0077156F" w:rsidP="007715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 в отчетном периоде в целях развития малого и среднего предпринимательства в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осуществлялась деятельность Ассоциацией «Некоммерческое партнерство «Центр содействия предпринимательству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 По итогам работы за 2021 год оказано 253 информационно – консультационные услуги.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администрацией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рамках заключенных соглашений предоставлены две субсидии из бюджета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частичное финансовое обеспечение выполнения уставных видов деятельности Ассоциацией «Некоммерческое партнерство «Центр содействия предпринимательству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целях оказания содействия деятельности некоммерческой организации, выражающей интересы субъектов малого и среднего предпринимательства, осуществляющих свою деятельность на территории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субсидий составил 110 тыс. рублей. Также субсидии предоставлены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 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Култукским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 в размере 30 и 20 тыс. рублей соответственно.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федерального закона № 209-ФЗ от 24.07.2007 года «О развитии малого и среднего предпринимательства в Российской Федерации» при администрации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создан и функционирует Координационный совет в области развития малого, среднего предпринимательства и туризма. За 2021 год проведено 4 заседания Координационного совета.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одним из вопросов был вопрос о рассмотрении обращения инициативной группы предпринимателей по вопросу увеличения налоговой нагрузки на индивидуальных предпринимателей в связи с вступлением в силу с 01.01.2021 г. Закона Иркутской области № 107-ОЗ от 30.11.2020г. «О внесении изменений в Закон Иркутской области «О применении индивидуальными предпринимателями патентной системы налогообложения на территории Иркутской области».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Координационного совета администрацией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были направлены обращения о снижении размера потенциально возможного к получению индивидуальным предпринимателем годового дохода, а также рад других предложений, направленных на снижение налоговой нагрузки на индивидуальных предпринимателей, в адрес Губернатора Иркутской области, в Министерство экономического развития Иркутской области, Ассоциацию муниципальных образований Иркутской области, Законодательное собрание Иркутской области.</w:t>
      </w:r>
      <w:proofErr w:type="gramEnd"/>
    </w:p>
    <w:p w:rsidR="0077156F" w:rsidRPr="0077156F" w:rsidRDefault="0077156F" w:rsidP="0077156F">
      <w:pPr>
        <w:tabs>
          <w:tab w:val="left" w:pos="0"/>
          <w:tab w:val="left" w:pos="993"/>
        </w:tabs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работы, закон №3-ОЗ от 08 февраля 2021 года «О внесении изменения в статью 2 закона Иркутской области «О применении индивидуальными предпринимателями патентной системы налогообложения на территории Иркутской области», о снижении вдвое стоимости патента для отдельных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видов деятельности, принят в окончательном чтении Законодательного Собрания Иркутской области. 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рассматривался вопрос об обращении в уполномоченный орган Иркутской области – Министерство имущественных отношений Иркутской области по вопросу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инициирования аудита кадастровой оценки объектов недвижимости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По итогам рассмотрения обращения и проведенного анализа, Министерством имущественных отношений Иркутской области не были утверждены результаты проведенной в 2021 году государственной кадастровой оценки объектов недвижимости. Правительством Иркутской области перенесена дата проведения очередной государственной кадастровой оценки с 2021 года на 2023 год.</w:t>
      </w:r>
    </w:p>
    <w:p w:rsidR="0077156F" w:rsidRPr="0077156F" w:rsidRDefault="0077156F" w:rsidP="00771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популяризации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второй год подряд в онлайн формате проводится ежегодный Форум предпринимателей </w:t>
      </w:r>
      <w:proofErr w:type="spellStart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в отчетном периоде приняли участие 30 представителей СМСП, в том числе 17 представителей СМСП были награждены за верность делу в связи с 15-летним юбилеем. Финансирование составило 211,8 тыс. рублей.</w:t>
      </w:r>
    </w:p>
    <w:p w:rsidR="0077156F" w:rsidRPr="0077156F" w:rsidRDefault="0077156F" w:rsidP="007715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6F" w:rsidRPr="0077156F" w:rsidRDefault="0077156F" w:rsidP="007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Инвестиции </w:t>
      </w:r>
    </w:p>
    <w:p w:rsidR="0077156F" w:rsidRPr="0077156F" w:rsidRDefault="0077156F" w:rsidP="0077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6F" w:rsidRPr="0077156F" w:rsidRDefault="0077156F" w:rsidP="007715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2021 году объем инвестиций составил по оценочным данным 1 360,226 млн. руб., в том числе бюджетные средства 1 091,426 млн. руб. или 80% от всех инвестиций. Большая доля бюджетных средств в общем объеме инвестиций объясняется строительством таких крупных объектов на территории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как: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лицензированного места складирования твердых коммунальных отходов (полигона ТКО) в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ибельти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школы на 725 мест в микрорайоне «Рудоуправления» г.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Слюдянки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объектов инфраструктуры Особой экономической зоны. </w:t>
      </w:r>
    </w:p>
    <w:p w:rsidR="0077156F" w:rsidRPr="0077156F" w:rsidRDefault="0077156F" w:rsidP="0077156F">
      <w:pPr>
        <w:shd w:val="clear" w:color="auto" w:fill="FFFFFF"/>
        <w:tabs>
          <w:tab w:val="left" w:pos="720"/>
          <w:tab w:val="left" w:pos="2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Осуществление крупной инвестиционной деятельности в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в силу нахождения большей части района в ЦЭЗ БПТ, на сегодняшний день возможно в рамках ОЭЗ. На территории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продолжает функционировать ОЭЗ ТРТ «Ворота Байкала».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темпы развития деятельности резидентов ОЭЗ, нарушение сроков реализации инвестиционных проектов обусловлены задержкой создания объектов инфраструктуры. С момента переноса ОЭЗ в Байкальск в 2010 году до 2017 года вложения в создание инфраструктуры не осуществлялись. </w:t>
      </w: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2017-2019 годах из бюджета Иркутской области было выделено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193,08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строительство сетей водоснабжения и бытовой канализации, обеспечивающих потребности действующих резидентов. Фактическая готовность данного объекта на сегодняшний день составляет 85,9%. </w:t>
      </w: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Соглашения о предоставлении субсидии из федерального бюджета бюджету субъекта Российской Федерации (от 22 декабря 2019 года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174-09-2020-020) по итогам 4 квартала 2021 года: </w:t>
      </w: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объекту «Сети ливневой канализации» техническая готовность объекта составляет 100,0%.</w:t>
      </w: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комплект документации по объекту передан в службу государственного жилищного и строительного надзора Иркутской области для получения заключения о соответствии построенного объекта требованиям технических регламентов и проектной документации. В настоящее время ведется работа по постановке объекта на кадастровый учет;</w:t>
      </w: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объекту «Улично-дорожная сеть с наружным освещением (1этап)». По результатам 2021 года подрядчиком приобретены необходимые строительные материалы.</w:t>
      </w: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ростом цен в 2021 году на строительные материалы и выявленными недостатками проекта произведена корректировка проектно-сметной документации, получено положительное заключение о достоверности сметной стоимости.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Скорректированная проектная и рабочая документация передана подрядной организации, в настоящее время ведутся подготовительные работы. Фактическая техническая готовность 0,0%;</w:t>
      </w: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объекту «Прокладка силового кабеля» (Предгорный район)». В 2021 году по указанному объекту подрядной организацией за счет собственных сре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оведены конкурентные процедуры по определению изготовителя и поставщика оборудования, установлены четыре трансформаторные подстанции, завершена комплектация трех распределительных подстанций. Работы по прокладке кабельных сетей перенесены на 2022 год. Фактическая техническая готовность объекта – 81,7%.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состоянию на 1 января 2021 года освоено 1 084,24 млн. рублей государственных инвестиций, в т. ч. 653,33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федерального бюджета и 430,91 млн. рублей областного бюджета. 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резидентов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резидентов с начала функционирования ОЭЗ было зарегистрировано 10 компаний, по состоянию на 01.01.2022 г. в ОЭЗ зарегистрировано 8 резидентов с планируемым объемом инвестиций свыше 2,4 млрд. руб., в т. ч.: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«БГК Гора Соболиная» – 1 393 млн. руб.;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«Байкал-Аква» – 156,98 млн. руб.;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Гринвальд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Байкал» – 206,6 млн. руб.;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«УЮТ+» – 98,5 млн. руб.;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«Вектор Байкальск» – 167,5 млн. руб.;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БратскТурИнвест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- 90,0 млн. руб.;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«Байкал-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Альпика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- 183,3 млн. руб.;</w:t>
      </w:r>
    </w:p>
    <w:p w:rsidR="0077156F" w:rsidRPr="0077156F" w:rsidRDefault="0077156F" w:rsidP="0077156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«Тау Тур» - 92,2 млн. руб.</w:t>
      </w:r>
    </w:p>
    <w:p w:rsidR="0077156F" w:rsidRPr="0077156F" w:rsidRDefault="0077156F" w:rsidP="007715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«Байкальский горнолыжный курорт «Гора Соболиная» с момента получения статуса резидента в 2011 году введено в эксплуатацию 5 объектов, общий объем инвестиций составляет 216,25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создано 43 рабочих места. Резидентом также осуществлено проектирование двух канатных дорог (проект передан для прохождения государственной экологической экспертизы и государственной экспертизы в строительстве), запланировано строительство сервисного центра, отеля «четыре звезды», СПА-комплекса, развитие склонов.</w:t>
      </w:r>
    </w:p>
    <w:p w:rsidR="0077156F" w:rsidRPr="0077156F" w:rsidRDefault="0077156F" w:rsidP="007715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активной стадии строительства находится реализация проект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«Уют+» по созданию турбазы на 64 места и ООО «ТАУ ТУР» по строительству гостиницы и банного комплекса на 16 мест.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завершения проектирования находятся три резидент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«Вектор Байкальск», ООО «Байкал-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Альпика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БратскТурИнвест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После прохождения государственных экспертиз в текущем году запланировано начало строительства туристских объектов. 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2021 года подано 4 заявки на получение статуса резидентов ОЭЗ. 4 компании планируют реализовать проекты по созданию на территории ОЭЗ 2 гостиничных комплексов,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апарт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-отеля и семейного отеля с общим объемом инвестиций 994,86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созданием 120 рабочих мест. После проведения голосования Экспертного совета с инвесторами будут заключены соглашения о деятельности в ОЭЗ и присвоен статус резидентов.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объем частных инвестиций составляет 258,09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планируемым инфраструктурным мероприятиям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на период 2022-2025 годы:</w:t>
      </w:r>
    </w:p>
    <w:p w:rsidR="0077156F" w:rsidRPr="0077156F" w:rsidRDefault="0077156F" w:rsidP="0077156F">
      <w:pPr>
        <w:spacing w:after="0" w:line="240" w:lineRule="auto"/>
        <w:ind w:left="58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второй очереди объекта капитального строительства «Спортивно-оздоровительный комплекс в </w:t>
      </w:r>
      <w:proofErr w:type="spellStart"/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людянка</w:t>
      </w:r>
      <w:proofErr w:type="spellEnd"/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7156F" w:rsidRPr="0077156F" w:rsidRDefault="0077156F" w:rsidP="0077156F">
      <w:pPr>
        <w:spacing w:after="0" w:line="240" w:lineRule="auto"/>
        <w:ind w:left="58" w:firstLine="6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Завершение с</w:t>
      </w:r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троительства многофункционального культурного центра в г. Байкальск в 2022 году;</w:t>
      </w:r>
    </w:p>
    <w:p w:rsidR="0077156F" w:rsidRPr="0077156F" w:rsidRDefault="0077156F" w:rsidP="0077156F">
      <w:pPr>
        <w:spacing w:after="0" w:line="240" w:lineRule="auto"/>
        <w:ind w:left="58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Строительство модульных клубов  </w:t>
      </w:r>
      <w:proofErr w:type="gramStart"/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Тибельти и п. Утулик,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Култук;</w:t>
      </w:r>
    </w:p>
    <w:p w:rsidR="0077156F" w:rsidRPr="0077156F" w:rsidRDefault="0077156F" w:rsidP="0077156F">
      <w:pPr>
        <w:spacing w:after="0" w:line="240" w:lineRule="auto"/>
        <w:ind w:left="58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Завершение с</w:t>
      </w: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троительства средней школы на 725 учащихся в </w:t>
      </w:r>
      <w:proofErr w:type="spellStart"/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Рудоуправление г. </w:t>
      </w:r>
      <w:proofErr w:type="spellStart"/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Слюдянка</w:t>
      </w:r>
      <w:proofErr w:type="spellEnd"/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взамен основной школы № 1;</w:t>
      </w:r>
    </w:p>
    <w:p w:rsidR="0077156F" w:rsidRPr="0077156F" w:rsidRDefault="0077156F" w:rsidP="0077156F">
      <w:pPr>
        <w:spacing w:after="0" w:line="240" w:lineRule="auto"/>
        <w:ind w:left="58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Завершение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полигона ТБО на территории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7156F" w:rsidRPr="0077156F" w:rsidRDefault="0077156F" w:rsidP="0077156F">
      <w:pPr>
        <w:spacing w:after="0" w:line="240" w:lineRule="auto"/>
        <w:ind w:left="58" w:firstLine="6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Строительство детского сада на 280 (330) мест в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Рудоуправление, г.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Слюдянка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7156F" w:rsidRPr="0077156F" w:rsidRDefault="0077156F" w:rsidP="0077156F">
      <w:pPr>
        <w:spacing w:after="0" w:line="240" w:lineRule="auto"/>
        <w:ind w:left="58" w:firstLine="6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Инфраструктурные объекты ОЭЗ ТРТ.</w:t>
      </w:r>
    </w:p>
    <w:p w:rsidR="0077156F" w:rsidRPr="0077156F" w:rsidRDefault="0077156F" w:rsidP="0077156F">
      <w:pPr>
        <w:spacing w:after="0" w:line="240" w:lineRule="auto"/>
        <w:ind w:left="58" w:hanging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Сдерживающее влияние на рост частных инвестиций по-прежнему сказывает вялая динамика кредитования компаний, существенное удорожание стоимости строительных материалов, а так же неблагоприятные условия инвестиционной деятельности, связанные с условиями нахождения территории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границах ЦЭЗ БПТ. </w:t>
      </w:r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6F" w:rsidRPr="0077156F" w:rsidRDefault="0077156F" w:rsidP="007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Демография, трудовые ресурсы и уровень жизни</w:t>
      </w:r>
    </w:p>
    <w:p w:rsidR="0077156F" w:rsidRPr="0077156F" w:rsidRDefault="0077156F" w:rsidP="007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56F" w:rsidRPr="0077156F" w:rsidRDefault="0077156F" w:rsidP="0077156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56F">
        <w:rPr>
          <w:rFonts w:ascii="Times New Roman" w:eastAsia="Calibri" w:hAnsi="Times New Roman" w:cs="Times New Roman"/>
          <w:sz w:val="24"/>
          <w:szCs w:val="24"/>
        </w:rPr>
        <w:tab/>
        <w:t xml:space="preserve">Демографическая ситуация в </w:t>
      </w:r>
      <w:proofErr w:type="spellStart"/>
      <w:r w:rsidRPr="0077156F">
        <w:rPr>
          <w:rFonts w:ascii="Times New Roman" w:eastAsia="Calibri" w:hAnsi="Times New Roman" w:cs="Times New Roman"/>
          <w:sz w:val="24"/>
          <w:szCs w:val="24"/>
        </w:rPr>
        <w:t>Слюдянском</w:t>
      </w:r>
      <w:proofErr w:type="spellEnd"/>
      <w:r w:rsidRPr="0077156F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Иркутской области, формирующаяся на основании статистических данных, на протяжении 10 последних лет характеризовалась снижением численности населения по причине естественной и механической (миграционной) убыли населения за исключением 2019 года, где демографическая ситуация показывала положительную динамику по причине снижения смертности. Численность постоянного населения </w:t>
      </w:r>
      <w:proofErr w:type="spellStart"/>
      <w:r w:rsidRPr="0077156F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sz w:val="24"/>
          <w:szCs w:val="24"/>
        </w:rPr>
        <w:t xml:space="preserve"> района  по состоянию на 01.01.2022 года составляет 38 700 человек. По сравнению с 2020 годом снижение составило 295 чел. или на 0,76 % (численность населения на 01.01.2021 г. – 38 995 чел). Население </w:t>
      </w:r>
      <w:proofErr w:type="spellStart"/>
      <w:r w:rsidRPr="0077156F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sz w:val="24"/>
          <w:szCs w:val="24"/>
        </w:rPr>
        <w:t xml:space="preserve"> района составляет 1,6% населения Иркутской области.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>Численность городского населения снижена по сравнению с прошлым годом на 0,9% или 293 чел. и составила 34 063 чел., численность сельского населения снижена на 0,04 % или 2 чел. и составила 4 637 чел. В городах проживает 88 % населения, в сельской местности – 12 %.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2021 год в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>Слюдянском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районе по данным службы ЗАГС родилось на 101 младенца больше (в 2020 году 211 чел.), а умерло на 169 человек  больше (в 2020 году 579 чел.).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Отчетный период отмечен ростом числа родившихся на 47,8%, который не наблюдался на протяжении нескольких лет. По отношению же к 2017 году, темп снижения числа </w:t>
      </w:r>
      <w:proofErr w:type="gram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>родившихся</w:t>
      </w:r>
      <w:proofErr w:type="gramEnd"/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2021 году составил 71%. 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Темп смертности населения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вырос в 2021 году. Если в 2020 году по отношению к 2019 году разница между количеством умерших составляла 17 человек в сторону уменьшения (темп роста смертности 103 %), то в 2021 году по отношению к 2020 году разница составила 169 человек в сторону увеличения (темп роста 129 %). Увеличение смертности также вызвано распространением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Covid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-19.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48DD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828675</wp:posOffset>
                </wp:positionV>
                <wp:extent cx="636905" cy="436245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" cy="436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156F" w:rsidRDefault="0077156F" w:rsidP="0077156F">
                            <w:pPr>
                              <w:pStyle w:val="a3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-2 чел.</w:t>
                            </w:r>
                          </w:p>
                          <w:p w:rsidR="0077156F" w:rsidRDefault="0077156F" w:rsidP="0077156F">
                            <w:pPr>
                              <w:pStyle w:val="a3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(-0,5%)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87.35pt;margin-top:65.25pt;width:50.15pt;height:34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" filled="f" stroked="f">
                <v:path arrowok="t"/>
                <v:textbox>
                  <w:txbxContent>
                    <w:p w:rsidR="0077156F" w:rsidRDefault="0077156F" w:rsidP="0077156F">
                      <w:pPr>
                        <w:pStyle w:val="a3"/>
                      </w:pPr>
                      <w:r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>-2 чел.</w:t>
                      </w:r>
                    </w:p>
                    <w:p w:rsidR="0077156F" w:rsidRDefault="0077156F" w:rsidP="0077156F">
                      <w:pPr>
                        <w:pStyle w:val="a3"/>
                      </w:pPr>
                      <w:r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>(-0,5%)</w:t>
                      </w:r>
                    </w:p>
                  </w:txbxContent>
                </v:textbox>
              </v:shape>
            </w:pict>
          </mc:Fallback>
        </mc:AlternateContent>
      </w:r>
      <w:r w:rsidRPr="0077156F">
        <w:rPr>
          <w:rFonts w:ascii="Times New Roman" w:eastAsia="Times New Roman" w:hAnsi="Times New Roman" w:cs="Times New Roman"/>
          <w:b/>
          <w:noProof/>
          <w:color w:val="548DD4"/>
          <w:lang w:eastAsia="ru-RU"/>
        </w:rPr>
        <w:object w:dxaOrig="10023" w:dyaOrig="4244">
          <v:shape id="Диаграмма 3" o:spid="_x0000_i1029" type="#_x0000_t75" style="width:501pt;height:231.75pt;visibility:visible">
            <v:imagedata r:id="rId15" o:title="" cropbottom="-31f"/>
            <o:lock v:ext="edit" aspectratio="f"/>
          </v:shape>
        </w:objec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Сохраняется диспропорция в половом составе населения - женское население района превышает мужское на 3 781 человека и составляет 54,8% общей численности.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Arial" w:eastAsia="Calibri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2853055" cy="2176145"/>
            <wp:effectExtent l="3810" t="0" r="635" b="0"/>
            <wp:wrapSquare wrapText="bothSides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В возрастной структуре населения наименьшую долю занимает население моложе трудоспособного возраста (8251 чел.), наибольшую – трудоспособного (20052 чел.).   Доля населения старше трудоспособного  составляет 27,42% или 10692 чел.</w:t>
      </w:r>
    </w:p>
    <w:p w:rsidR="0077156F" w:rsidRPr="0077156F" w:rsidRDefault="0077156F" w:rsidP="007715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Прослеживается следующая тенденция в отчетном периоде по отношению к 2019 году: снижение численности трудоспособного населения на 0,5%, снижение численности населения моложе трудоспособного возраста на 3,1%, но в тоже время рост численности населения старше трудоспособного возраста на 2,5%. </w:t>
      </w:r>
    </w:p>
    <w:p w:rsidR="0077156F" w:rsidRPr="0077156F" w:rsidRDefault="0077156F" w:rsidP="007715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численность молодежи, пополнившей ряды трудоспособного населения, меньше, чем лиц, уходящих на пенсию, в тоже время </w:t>
      </w:r>
      <w:proofErr w:type="gram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кадровый потенциал, представляемый молодежью также уменьшается</w:t>
      </w:r>
      <w:proofErr w:type="gram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7156F" w:rsidRPr="0077156F" w:rsidRDefault="0077156F" w:rsidP="007715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 и в целом по России, продолжается процесс демографического старения населения. Согласно международным критериям, население считается старым, если доля населения в возрасте 65 лет и старше превышает 7%. В нашем районе это соотношение более</w:t>
      </w:r>
      <w:proofErr w:type="gramStart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7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в два раза (17,8%), каждый 6-й житель находится в указанном возрасте.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занятых в экономике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составила 13 241 человек или 102,1 % к уровню предыдущего года, что составляет 66 % от всего трудоспособного населения района. Для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как и в целом по стране, характерен более высокий уровень занятости в городской местности, где показатель составляет 13 018 человек, это более 98,3 % от общего числа занятых в экономике.</w:t>
      </w:r>
    </w:p>
    <w:p w:rsidR="0077156F" w:rsidRPr="0077156F" w:rsidRDefault="0077156F" w:rsidP="00771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занятых в экономике отмечен в следующих видах экономической деятельности: оптовая и розничная торговля, ремонт автотранспортных средств, мотоциклов – 24,8 %, транспортировка и хранение – 20,1 %,  образование – 14,1%, государственное управление и обеспечение военной безопасности – 6,3 %, здравоохранение и предоставление прочих социальных услуг – 5,7 %, обрабатывающие производства – 5,4</w:t>
      </w:r>
      <w:r w:rsidRPr="00771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%, обеспечение электроэнергией, газом и паром, кондиционирование воздуха – 4,5 %.</w:t>
      </w:r>
      <w:proofErr w:type="gramEnd"/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зарегистрированной безработицы  по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 на  01.01.2022 года снижен на 1 процентный пункт и составил 0,7 %. Данный показатель по оценочным данным сохранится и до 2025 года.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01.01.2022 года зарегистрировано 126 безработных в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 (что на 203 человека меньше, чем было зафиксировано на 01.01.2021 года),  из них 111 человек получают социальные выплаты. В Байкальском муниципальном образовании зарегистрировано в качестве безработных  45 человек, из них  41  человек  получают пособие по безработице, в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-48 безработных, из них 40 человек получают социальные выплаты.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высвобождении работников в 2021 году поступили в ОГКУ «Центр занятости населения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от  26 работодателей  на общее количество  высвобождаемых 110 человек. Из них за содействием в трудоустройстве обратилось 26 человек или 24 % уволенных в связи с высвобождением работников. В 2021 году 17 человек, с учетом состоявших на учете на начало года,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напряженности на рынке труда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01.01.2022 г. равен  0,2,  в Байкальском муниципальном образовании - 0,3, в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0,5. Численность граждан, состоящих по состоянию на 01.01.2022 года в ОГКУ ЦЗН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регистрационном учете в целях поиска подходящей работы, составляет 158 человек, из них 97 женщин (63,4 %) и 61 мужчина (38,6 %). Из общего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числа состоящих на регистрационном учете в целях поиска подходящей работы: 8 человек (5,1%) высвобожденные по инициативе работодателя; 26 человек (16,5 %) граждане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49 человек (31 %) молодежь в возрасте 16-29 лет; 21 человек (13,3 %)  не имеют опыта  работы; 10 человек (6,3 %)  имеют инвалидность.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proofErr w:type="gram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обратившихся в центр занятости населения за содействием в поиске работы в  январе-декабре 2021 года составила</w:t>
      </w:r>
      <w:proofErr w:type="gram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1380 человек, что на 769 человек меньше, чем в 2020 году. Признано безработными за  2021 год 558 человек, что в 2 раза меньше, чем в 2020</w:t>
      </w:r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71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Снято с учета 1631 человек, ищущих работу, в том числе 764 безработных. Трудоустроено 852 человека,  ищущего работу, в том числе 353 безработных.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Согласно оценочным данным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занятости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71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в 2022 году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безработных граждан составит 568 человек </w:t>
      </w:r>
      <w:r w:rsidRPr="00771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(рост на 1,8%).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Заявленная потребность работодателей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в необходимых работниках   на  1  января 2022 года составляет 453 вакансии, в том числе  54 % или 244 вакансии  по рабочим  профессиям.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Заработная плата по полному кругу организаций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сложилась на уровне 32 581 руб., темп роста составил 105,4 %.  Заработная плата по крупным и средним предприятиям и организациям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(согласно данных Росстат) составила по итогам 2021 года 48 202,6 руб., темп роста – 106,8 %. Для сравнения – средний показатель по Иркутской области – 61 136,7 руб., самая низкая заработная плата работников в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Зиминском</w:t>
      </w:r>
      <w:proofErr w:type="spellEnd"/>
      <w:proofErr w:type="gram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районе – 39 035 руб. и в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Эхирит-Булагатском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районе – 39 200,2 руб., </w:t>
      </w:r>
      <w:proofErr w:type="gram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самая</w:t>
      </w:r>
      <w:proofErr w:type="gram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высокая в МО города Бодайбо и района – 111 414 руб.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 в рейтинге 42 муниципальных образований Иркутской области занимает 24 место. </w:t>
      </w:r>
    </w:p>
    <w:p w:rsidR="0077156F" w:rsidRPr="0077156F" w:rsidRDefault="0077156F" w:rsidP="0077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Наибольший размер среднемесячной заработной платы сложился по видам экономической деятельности: «государственное управление и обеспечение военной безопасности, обязательное социальное обеспечение» - 57662,4 руб., «строительство» - 56341,9 руб., «добыча полезных ископаемых» - 49273,2 руб.  «здравоохранение и предоставление социальных услуг» - 43 816,6 руб.  </w:t>
      </w:r>
    </w:p>
    <w:p w:rsidR="0077156F" w:rsidRPr="0077156F" w:rsidRDefault="0077156F" w:rsidP="0077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Также следует отметить, рост заработной платы в бюджетной сфере, главным образом,  обусловленный продолжением проводимой работы по увеличению заработной платы в рамках исполнения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от 28 декабря 2012 года</w:t>
      </w:r>
      <w:proofErr w:type="gram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бюджетной сферы, финансируемая из консолидированного местного бюджета, составила 36 625,87 руб., что на 7,1 % больше показателя за 2020 год.</w:t>
      </w:r>
    </w:p>
    <w:p w:rsidR="0077156F" w:rsidRPr="0077156F" w:rsidRDefault="0077156F" w:rsidP="0077156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Средняя заработная плата педагогических работников дошкольных образовательных учреждений, учреждений дополнительного образования, образовательных учреждений и работников учреждений культуры  доведена до показателей установленных министерствами образования, культуры и архивов Иркутской области. </w:t>
      </w:r>
    </w:p>
    <w:p w:rsidR="0077156F" w:rsidRPr="0077156F" w:rsidRDefault="0077156F" w:rsidP="0077156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2021 года показатели среднемесячной заработной платы категорий работников, подпадающих под Указы, достигли следующих показателей:</w:t>
      </w:r>
    </w:p>
    <w:p w:rsidR="0077156F" w:rsidRPr="0077156F" w:rsidRDefault="0077156F" w:rsidP="0077156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педагогических работников учреждений дошкольного образования – 36 128 рублей с ростом относительно 2020 года на 6,6%, </w:t>
      </w:r>
    </w:p>
    <w:p w:rsidR="0077156F" w:rsidRPr="0077156F" w:rsidRDefault="0077156F" w:rsidP="0077156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педагогических работников учреждений общего образования – 45 902 рублей с ростом на 13,7%,</w:t>
      </w:r>
    </w:p>
    <w:p w:rsidR="0077156F" w:rsidRPr="0077156F" w:rsidRDefault="0077156F" w:rsidP="0077156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педагогических работников учреждений дополнительного образования – 41 803 тыс. рублей с ростом на 6,4%, </w:t>
      </w:r>
    </w:p>
    <w:p w:rsidR="0077156F" w:rsidRPr="0077156F" w:rsidRDefault="0077156F" w:rsidP="0077156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основного персонала учреждений культуры –  41 084,6  рублей с ростом на 8,4%.</w:t>
      </w:r>
    </w:p>
    <w:p w:rsidR="0077156F" w:rsidRPr="0077156F" w:rsidRDefault="0077156F" w:rsidP="0077156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56F" w:rsidRPr="0077156F" w:rsidRDefault="0077156F" w:rsidP="0077156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8785" w:dyaOrig="3235">
          <v:shape id="Диаграмма 156" o:spid="_x0000_i1030" type="#_x0000_t75" style="width:439.5pt;height:162pt;visibility:visible">
            <v:imagedata r:id="rId17" o:title=""/>
            <o:lock v:ext="edit" aspectratio="f"/>
          </v:shape>
        </w:objec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Согласно статистическим данным задолженность по выплате заработной платы по предприятиям, находящимся на территории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района, по состоянию на 01.01.2022 года отсутствует.  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возросла на 1,6 % и составила 11 487 рублей. Важно отметить, что с 2021 г. оценки величины ПМ осуществляются по новой методике, и остается фиксированной на протяжении календарного года. 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с денежными доходами ниже величины прожиточного минимума в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снижена в сравнении с 2020 годом на 21% и составила по состоянию на 01.01.2022 года 5 985 человек или 15,4 % от общей численности населения. Большую долю (43%) в структуре малоимущего населения занимают пенсионеры, получающие пенсию ниже величины прожиточного минимума пенсионера, в сравнении с аналогичным периодом прошлого года их численность снижена на 2,5 % или 67 человек, и составила 2597 человек, однако вышеуказанные пенсионеры получают доплату из федерального бюджета до уровня прожиточного минимума. Численность детей, на которых назначено ежемесячное пособие, по состоянию на 01.01.2022 года снижена на 40% или 1490 чел. и составила 2219 человек или 37% от общей численности малоимущего населения. Снижение численности данной категории детей объясняется увеличением в семьях среднедушевого дохода, размер которого не должен превышать утвержденную величину прожиточного минимума</w:t>
      </w:r>
      <w:r w:rsidRPr="007715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следствие, невозможность использования данной меры социальной поддержки.</w:t>
      </w:r>
    </w:p>
    <w:p w:rsidR="0077156F" w:rsidRPr="0077156F" w:rsidRDefault="0077156F" w:rsidP="00771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итогам 2021 года среднедушевой денежный доход населения составил 16 558,2 руб., темп роста в сравнении с прошлым годом – 4,9 %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Данный показатель по Иркутской области выше показателя по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Слюдянскому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району в 1,8 раз (30 125,9 руб.).  При этом, размер среднемесячной заработной платы по крупным и средним предприятиям и организациям превышает уровень среднедушевого денежного дохода по </w:t>
      </w:r>
      <w:proofErr w:type="spellStart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Слюдянскому</w:t>
      </w:r>
      <w:proofErr w:type="spellEnd"/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району в 2,9 раз, в то время как по Иркутской области лишь в 2,03  раза. 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15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Одной из причин данных разрывов является то, что идет тенденция снижения численности трудоспособного населения и рост населения младше трудоспособного и старше трудоспособного возраста, что ведет к росту социальной нагрузки на каждого работающего человека.</w:t>
      </w: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6F" w:rsidRPr="0077156F" w:rsidRDefault="0077156F" w:rsidP="007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Доходный потенциал территории</w:t>
      </w:r>
    </w:p>
    <w:p w:rsidR="0077156F" w:rsidRPr="0077156F" w:rsidRDefault="0077156F" w:rsidP="0077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56F" w:rsidRPr="0077156F" w:rsidRDefault="0077156F" w:rsidP="007715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фактического исполнения 2021 года доходный (налоговый) потенциал консолидированного бюджета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составил 344,66 млн. руб., в том числе по налогу на доходы физических лиц – 277,61 млн. руб., земельному налогу – 21,92 млн. руб., налогу на имущество физических лиц – 5,26 млн. руб., налогам по специальным режимам – 39,87 млн. руб.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2022 года доходный (налоговый) потенциал консолидированного бюджета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составит 351,74 млн. руб. с ростом к фактическому исполнению 2021 года  +7,08 млн. руб. 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 по налогу на доходы физических лиц на 2023-2025г. составлен с учетом дефлятора «реальная заработная плата работников организаций» по прогнозу социально-экономического развития Российской Федерации (консервативный вариант) на базе фактического исполнения за 9 месяцев 2022 года и составил: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2023 году – 263,754 млн. руб. с темпом роста к оценке 2022 года – 96,5%;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– 264,545 млн. руб. с темпом роста к прогнозу 2023 года – 100,3%;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– 267,455 млн. руб. с темпом роста к прогнозу 2024 года – 101,1%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имущество,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включающие земельный налог и налог на имущество физических лиц спрогнозированы по консолидированному бюджету на основании прогнозов городских и сельских поселений основ полагаясь на прогнозе главного администратора данных видов налогов МИФНС №22.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2022 года </w:t>
      </w:r>
      <w:r w:rsidRPr="0077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налог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20,49 млн. руб. со снижение к фактическому исполнению 2021 года -11,4%. Прогноз земельного налога на 2023-2025 годы составит: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2023 году – 19,53 млн. руб. с темпом роста к оценке 2022г. – 95,3%;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– 19,73 млн. руб. с темпом роста к прогнозу 2023г. – 101,0%;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2025 году – 19,87 млн. руб. с темпом роста к прогнозу 2024г. – 100,7%. 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имущество физических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оценивается на уровне 8,48 млн. руб. с ростом к факту 2021 года +61,2%. Прогноз налога на имущество физических лиц на 2023-2025 годы составит: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2023 году – 5,97 млн. руб. с темпом роста к оценке 2022г – 70,4%.;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– 6,18 млн. руб. с темпом роста к прогнозу 2023г. – 103,5%;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2025 году – 6,19 млн. руб. с темпом роста к прогнозу 2024г. – 100,2%. 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по специальным режимам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2023-2025 годы в том числе: налог, взимаемый в связи с применением упрощенной системы налогообложения и налог, взимаемый в связи с применением патентной системы налогообложения - спланированы на базе оценки 2022 года с учетом индекса  дефлятора «индекс потребительских цен» по прогнозу социально-экономического развития Российской Федерации на 2023-2025гг.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2022 года </w:t>
      </w:r>
      <w:r w:rsidRPr="0077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налог, взимаемый в связи с применением упрощенной системы налогообложения (далее УСН), 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38,62 млн. руб. с ростом к фактическому исполнению 2021 года +34,5%, который объясняется увеличением норматива отчислений с 38,778% до 44,384%, а также ростом налогооблагаемой базы.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 УСН на 2023-2025 годы составит: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2023 году – 40,71 млн. руб. с темпом роста к оценке 2022г – 105,4%.;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– 42,21 млн. руб. с темпом роста к прогнозу 2023г. – 103,7%;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– 43.9 млн. руб. с темпом роста к прогнозу 2024г. – 104,0%.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Налог, взимаемый в связи с применением патентной системы налогообложения (далее патент)</w:t>
      </w: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оценивается в сумме 10,82 млн. руб., 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патента на 2023-2025 составит: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2023 году – 11,41 млн. руб., с темпом роста к оценке 2022 года 105,4%,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– 11,83 млн. руб. с темпом роста к прогнозу 2023 года 103,7%,</w:t>
      </w:r>
    </w:p>
    <w:p w:rsidR="0077156F" w:rsidRPr="0077156F" w:rsidRDefault="0077156F" w:rsidP="007715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– 12,3 млн. руб. с темпом роста к прогнозу 2024 года 104,0%.</w:t>
      </w:r>
    </w:p>
    <w:p w:rsidR="0077156F" w:rsidRPr="0077156F" w:rsidRDefault="0077156F" w:rsidP="007715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56F">
        <w:rPr>
          <w:rFonts w:ascii="Times New Roman" w:eastAsia="Calibri" w:hAnsi="Times New Roman" w:cs="Times New Roman"/>
          <w:sz w:val="24"/>
          <w:szCs w:val="24"/>
        </w:rPr>
        <w:t xml:space="preserve">Относительно фактических показателей  2021 года среднесписочная численность работников бюджетной сферы </w:t>
      </w:r>
      <w:proofErr w:type="spellStart"/>
      <w:r w:rsidRPr="0077156F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77156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оценке 2022 года увеличилась  на 0,017 тыс. человек.</w:t>
      </w:r>
    </w:p>
    <w:p w:rsidR="0077156F" w:rsidRPr="0077156F" w:rsidRDefault="0077156F" w:rsidP="007715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56F">
        <w:rPr>
          <w:rFonts w:ascii="Times New Roman" w:eastAsia="Calibri" w:hAnsi="Times New Roman" w:cs="Times New Roman"/>
          <w:sz w:val="24"/>
          <w:szCs w:val="24"/>
        </w:rPr>
        <w:t xml:space="preserve"> Расчет произведен:</w:t>
      </w:r>
    </w:p>
    <w:p w:rsidR="0077156F" w:rsidRPr="0077156F" w:rsidRDefault="0077156F" w:rsidP="007715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156F">
        <w:rPr>
          <w:rFonts w:ascii="Times New Roman" w:eastAsia="Calibri" w:hAnsi="Times New Roman" w:cs="Times New Roman"/>
          <w:sz w:val="24"/>
          <w:szCs w:val="24"/>
        </w:rPr>
        <w:t>-  по государственному управлению  в соответствии с действующими штатными расписаниями с учетом нормативов формирования фонда оплаты труда и Законом Иркутской области от 01 апреля 2021 года № 22-оз «О внесении изменений в приложения к Закону Иркутской области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proofErr w:type="gramEnd"/>
    </w:p>
    <w:p w:rsidR="0077156F" w:rsidRPr="0077156F" w:rsidRDefault="0077156F" w:rsidP="007715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156F">
        <w:rPr>
          <w:rFonts w:ascii="Times New Roman" w:eastAsia="Calibri" w:hAnsi="Times New Roman" w:cs="Times New Roman"/>
          <w:sz w:val="24"/>
          <w:szCs w:val="24"/>
        </w:rPr>
        <w:t xml:space="preserve">- по учреждениям образования снижение численности составило </w:t>
      </w:r>
      <w:r w:rsidRPr="0077156F">
        <w:rPr>
          <w:rFonts w:ascii="Times New Roman" w:eastAsia="Calibri" w:hAnsi="Times New Roman" w:cs="Times New Roman"/>
          <w:b/>
          <w:sz w:val="24"/>
          <w:szCs w:val="24"/>
        </w:rPr>
        <w:t>0,026 тыс. человек</w:t>
      </w:r>
      <w:r w:rsidRPr="0077156F">
        <w:rPr>
          <w:rFonts w:ascii="Times New Roman" w:eastAsia="Calibri" w:hAnsi="Times New Roman" w:cs="Times New Roman"/>
          <w:sz w:val="24"/>
          <w:szCs w:val="24"/>
        </w:rPr>
        <w:t xml:space="preserve">  произошло в результате оптимизации численности работников дошкольного </w:t>
      </w:r>
      <w:r w:rsidRPr="007715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образования в связи с уменьшением численности детей в дошкольных учреждениях, необходимостью финансирования в 2021 году оплаты труда работников детского оздоровительного лагеря Солнечный за счет средств бюджета – большая часть путевок была реализована по льготной цене по социальной линии (70%  стоимости путевок).  </w:t>
      </w:r>
      <w:proofErr w:type="gramEnd"/>
    </w:p>
    <w:p w:rsidR="0077156F" w:rsidRPr="0077156F" w:rsidRDefault="0077156F" w:rsidP="007715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56F">
        <w:rPr>
          <w:rFonts w:ascii="Times New Roman" w:eastAsia="Calibri" w:hAnsi="Times New Roman" w:cs="Times New Roman"/>
          <w:sz w:val="24"/>
          <w:szCs w:val="24"/>
        </w:rPr>
        <w:t xml:space="preserve">Рост  среднемесячной начисленной заработной платы социальной  сферы в сравнении с предыдущими годами обусловлен   доведением  среднего уровня заработной платы педагогических работников и работников культуры установленным показателям    </w:t>
      </w:r>
      <w:proofErr w:type="gramStart"/>
      <w:r w:rsidRPr="0077156F">
        <w:rPr>
          <w:rFonts w:ascii="Times New Roman" w:eastAsia="Calibri" w:hAnsi="Times New Roman" w:cs="Times New Roman"/>
          <w:sz w:val="24"/>
          <w:szCs w:val="24"/>
        </w:rPr>
        <w:t>согласно Указа</w:t>
      </w:r>
      <w:proofErr w:type="gramEnd"/>
      <w:r w:rsidRPr="0077156F">
        <w:rPr>
          <w:rFonts w:ascii="Times New Roman" w:eastAsia="Calibri" w:hAnsi="Times New Roman" w:cs="Times New Roman"/>
          <w:sz w:val="24"/>
          <w:szCs w:val="24"/>
        </w:rPr>
        <w:t xml:space="preserve">  Президента РФ от 07.05.2012 года № 597 «О мерах по реализации государственной социальной политики», увеличением МРОТ с 01.01.2022 года и с 01.04.2022 года.  </w:t>
      </w:r>
    </w:p>
    <w:p w:rsidR="0077156F" w:rsidRPr="0077156F" w:rsidRDefault="0077156F" w:rsidP="0077156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6F" w:rsidRPr="0077156F" w:rsidRDefault="0077156F" w:rsidP="0077156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6F" w:rsidRPr="0077156F" w:rsidRDefault="0077156F" w:rsidP="0077156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56F" w:rsidRPr="0077156F" w:rsidRDefault="0077156F" w:rsidP="007715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анализу и прогнозированию</w:t>
      </w:r>
    </w:p>
    <w:p w:rsidR="0077156F" w:rsidRPr="0077156F" w:rsidRDefault="0077156F" w:rsidP="007715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</w:t>
      </w:r>
    </w:p>
    <w:p w:rsidR="0077156F" w:rsidRPr="0077156F" w:rsidRDefault="0077156F" w:rsidP="007715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территории                                                                                         А.В. </w:t>
      </w:r>
      <w:proofErr w:type="spellStart"/>
      <w:r w:rsidRPr="0077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Салдушева</w:t>
      </w:r>
      <w:proofErr w:type="spellEnd"/>
    </w:p>
    <w:p w:rsidR="0077156F" w:rsidRPr="0077156F" w:rsidRDefault="0077156F" w:rsidP="0077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6F" w:rsidRPr="0077156F" w:rsidRDefault="0077156F" w:rsidP="007715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6F" w:rsidRPr="0077156F" w:rsidRDefault="0077156F" w:rsidP="0077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6F" w:rsidRPr="0077156F" w:rsidRDefault="0077156F" w:rsidP="00771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72" w:rsidRDefault="0077156F">
      <w:bookmarkStart w:id="0" w:name="_GoBack"/>
      <w:bookmarkEnd w:id="0"/>
    </w:p>
    <w:sectPr w:rsidR="00FD1372" w:rsidSect="0059190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6F" w:rsidRDefault="0077156F" w:rsidP="0077156F">
      <w:pPr>
        <w:spacing w:after="0" w:line="240" w:lineRule="auto"/>
      </w:pPr>
      <w:r>
        <w:separator/>
      </w:r>
    </w:p>
  </w:endnote>
  <w:endnote w:type="continuationSeparator" w:id="0">
    <w:p w:rsidR="0077156F" w:rsidRDefault="0077156F" w:rsidP="0077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6F" w:rsidRDefault="0077156F" w:rsidP="0077156F">
      <w:pPr>
        <w:spacing w:after="0" w:line="240" w:lineRule="auto"/>
      </w:pPr>
      <w:r>
        <w:separator/>
      </w:r>
    </w:p>
  </w:footnote>
  <w:footnote w:type="continuationSeparator" w:id="0">
    <w:p w:rsidR="0077156F" w:rsidRDefault="0077156F" w:rsidP="0077156F">
      <w:pPr>
        <w:spacing w:after="0" w:line="240" w:lineRule="auto"/>
      </w:pPr>
      <w:r>
        <w:continuationSeparator/>
      </w:r>
    </w:p>
  </w:footnote>
  <w:footnote w:id="1">
    <w:p w:rsidR="0077156F" w:rsidRPr="00FE115C" w:rsidRDefault="0077156F" w:rsidP="0077156F">
      <w:pPr>
        <w:pStyle w:val="a4"/>
        <w:rPr>
          <w:rFonts w:ascii="Times New Roman" w:hAnsi="Times New Roman"/>
        </w:rPr>
      </w:pPr>
      <w:r w:rsidRPr="00FE115C">
        <w:rPr>
          <w:rStyle w:val="a6"/>
          <w:rFonts w:ascii="Times New Roman" w:hAnsi="Times New Roman"/>
        </w:rPr>
        <w:footnoteRef/>
      </w:r>
      <w:r w:rsidRPr="00FE115C">
        <w:rPr>
          <w:rFonts w:ascii="Times New Roman" w:hAnsi="Times New Roman"/>
        </w:rPr>
        <w:t xml:space="preserve"> В связи с отсутствием статистических данных за 2021 год показатель рассчитан по данным за 9 месяцев 2021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6F"/>
    <w:rsid w:val="0042667E"/>
    <w:rsid w:val="00522043"/>
    <w:rsid w:val="005425D0"/>
    <w:rsid w:val="0077156F"/>
    <w:rsid w:val="007E5D2F"/>
    <w:rsid w:val="00D373C8"/>
    <w:rsid w:val="00F3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7715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rmal (Web)"/>
    <w:basedOn w:val="a"/>
    <w:rsid w:val="0077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7715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7156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77156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7715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rmal (Web)"/>
    <w:basedOn w:val="a"/>
    <w:rsid w:val="0077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7715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7156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77156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CAD7F20CE1D1FB9335D593E293B67CF6813C79EA3F803ED563313880CF41A922044EAF07F30C2D756A3D10833AA5ABC8D444FAF49B32AF0x0Q1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AD7F20CE1D1FB9335D593E293B67CF6F15C89FA3FC03ED563313880CF41A922044EAF07F30C2DF53A3D10833AA5ABC8D444FAF49B32AF0x0Q1G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7CAD7F20CE1D1FB9335D593E293B67CF681CCB9DA1FE03ED563313880CF41A922044EAF07F30C2D652A3D10833AA5ABC8D444FAF49B32AF0x0Q1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6"/>
            </a:pPr>
            <a:r>
              <a:rPr lang="ru-RU" sz="1206"/>
              <a:t>Возрастная структура населения</a:t>
            </a:r>
          </a:p>
        </c:rich>
      </c:tx>
      <c:layout>
        <c:manualLayout>
          <c:xMode val="edge"/>
          <c:yMode val="edge"/>
          <c:x val="5.2076771653543304E-2"/>
          <c:y val="5.3702964548786235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796353331939702"/>
          <c:y val="0.23190214430743328"/>
          <c:w val="0.29326623379497463"/>
          <c:h val="0.7661095887243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структура населения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6.2728601877785409E-2"/>
                  <c:y val="-0.1744248268525905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трудоспособное</c:v>
                </c:pt>
                <c:pt idx="1">
                  <c:v>старше трудоспособного</c:v>
                </c:pt>
                <c:pt idx="2">
                  <c:v>моложе трудоспособного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0.51419999999999999</c:v>
                </c:pt>
                <c:pt idx="1">
                  <c:v>0.2742</c:v>
                </c:pt>
                <c:pt idx="2">
                  <c:v>0.21160000000000001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532">
          <a:noFill/>
        </a:ln>
      </c:spPr>
    </c:plotArea>
    <c:legend>
      <c:legendPos val="r"/>
      <c:layout>
        <c:manualLayout>
          <c:xMode val="edge"/>
          <c:yMode val="edge"/>
          <c:x val="0.61467446777486145"/>
          <c:y val="0.17792179203406025"/>
          <c:w val="0.38084536307961503"/>
          <c:h val="0.7355535396785080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7580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Юлия Анатольевна</dc:creator>
  <cp:lastModifiedBy>Орлова Юлия Анатольевна</cp:lastModifiedBy>
  <cp:revision>1</cp:revision>
  <dcterms:created xsi:type="dcterms:W3CDTF">2022-11-30T06:24:00Z</dcterms:created>
  <dcterms:modified xsi:type="dcterms:W3CDTF">2022-11-30T06:26:00Z</dcterms:modified>
</cp:coreProperties>
</file>