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63" w:rsidRDefault="00146863" w:rsidP="00146863">
      <w:pPr>
        <w:ind w:firstLine="709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2018 год</w:t>
      </w:r>
      <w:bookmarkStart w:id="0" w:name="_GoBack"/>
      <w:bookmarkEnd w:id="0"/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территории Слюдянского района одним из перспективных отраслей для развития и уже начинающим набирать свои обороты является туристско-рекреационный отраслевой комплекс. 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сегодняшний день, территория Слюдянского района позиционирует себя как территория по развитию двух основных направлений: культурно-познавательного (в состав которого входит исторический, гастрономический, событийный туризм) и  оздоровительного туризма (в </w:t>
      </w:r>
      <w:proofErr w:type="spellStart"/>
      <w:r>
        <w:rPr>
          <w:sz w:val="24"/>
          <w:szCs w:val="24"/>
          <w:lang w:eastAsia="en-US"/>
        </w:rPr>
        <w:t>т.ч</w:t>
      </w:r>
      <w:proofErr w:type="spellEnd"/>
      <w:r>
        <w:rPr>
          <w:sz w:val="24"/>
          <w:szCs w:val="24"/>
          <w:lang w:eastAsia="en-US"/>
        </w:rPr>
        <w:t xml:space="preserve">. спортивный, активный, событийный, гастрономический), причем в целях соблюдения экологического и экономического баланса, предполагается развитие преимущественно  маршрутного туризма. 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 w:rsidRPr="00922681">
        <w:rPr>
          <w:sz w:val="24"/>
          <w:szCs w:val="24"/>
          <w:lang w:eastAsia="en-US"/>
        </w:rPr>
        <w:t>Наличие разнообразных ту</w:t>
      </w:r>
      <w:r>
        <w:rPr>
          <w:sz w:val="24"/>
          <w:szCs w:val="24"/>
          <w:lang w:eastAsia="en-US"/>
        </w:rPr>
        <w:t>рист</w:t>
      </w:r>
      <w:r w:rsidRPr="00922681">
        <w:rPr>
          <w:sz w:val="24"/>
          <w:szCs w:val="24"/>
          <w:lang w:eastAsia="en-US"/>
        </w:rPr>
        <w:t xml:space="preserve">ских ресурсов </w:t>
      </w:r>
      <w:r>
        <w:rPr>
          <w:sz w:val="24"/>
          <w:szCs w:val="24"/>
          <w:lang w:eastAsia="en-US"/>
        </w:rPr>
        <w:t xml:space="preserve">и объектов показа </w:t>
      </w:r>
      <w:r w:rsidRPr="00922681">
        <w:rPr>
          <w:sz w:val="24"/>
          <w:szCs w:val="24"/>
          <w:lang w:eastAsia="en-US"/>
        </w:rPr>
        <w:t xml:space="preserve">позволяет разделить территорию на несколько </w:t>
      </w:r>
      <w:r>
        <w:rPr>
          <w:sz w:val="24"/>
          <w:szCs w:val="24"/>
          <w:lang w:eastAsia="en-US"/>
        </w:rPr>
        <w:t xml:space="preserve">сложившихся и </w:t>
      </w:r>
      <w:r w:rsidRPr="00922681">
        <w:rPr>
          <w:sz w:val="24"/>
          <w:szCs w:val="24"/>
          <w:lang w:eastAsia="en-US"/>
        </w:rPr>
        <w:t xml:space="preserve">перспективных туристско-рекреационных </w:t>
      </w:r>
      <w:proofErr w:type="spellStart"/>
      <w:r w:rsidRPr="00922681">
        <w:rPr>
          <w:sz w:val="24"/>
          <w:szCs w:val="24"/>
          <w:lang w:eastAsia="en-US"/>
        </w:rPr>
        <w:t>дестин</w:t>
      </w:r>
      <w:r>
        <w:rPr>
          <w:sz w:val="24"/>
          <w:szCs w:val="24"/>
          <w:lang w:eastAsia="en-US"/>
        </w:rPr>
        <w:t>а</w:t>
      </w:r>
      <w:r w:rsidRPr="00922681">
        <w:rPr>
          <w:sz w:val="24"/>
          <w:szCs w:val="24"/>
          <w:lang w:eastAsia="en-US"/>
        </w:rPr>
        <w:t>ций</w:t>
      </w:r>
      <w:proofErr w:type="spellEnd"/>
      <w:r w:rsidRPr="00922681">
        <w:rPr>
          <w:sz w:val="24"/>
          <w:szCs w:val="24"/>
          <w:lang w:eastAsia="en-US"/>
        </w:rPr>
        <w:t xml:space="preserve"> и </w:t>
      </w:r>
      <w:r>
        <w:rPr>
          <w:sz w:val="24"/>
          <w:szCs w:val="24"/>
          <w:lang w:eastAsia="en-US"/>
        </w:rPr>
        <w:t xml:space="preserve">возможных </w:t>
      </w:r>
      <w:r w:rsidRPr="00922681">
        <w:rPr>
          <w:sz w:val="24"/>
          <w:szCs w:val="24"/>
          <w:lang w:eastAsia="en-US"/>
        </w:rPr>
        <w:t>специализаци</w:t>
      </w:r>
      <w:r>
        <w:rPr>
          <w:sz w:val="24"/>
          <w:szCs w:val="24"/>
          <w:lang w:eastAsia="en-US"/>
        </w:rPr>
        <w:t>й</w:t>
      </w:r>
      <w:r w:rsidRPr="00922681">
        <w:rPr>
          <w:sz w:val="24"/>
          <w:szCs w:val="24"/>
          <w:lang w:eastAsia="en-US"/>
        </w:rPr>
        <w:t xml:space="preserve"> предпринимательской деятельности, ориентированной на туристический поток, в зависимости от территориального расположения</w:t>
      </w:r>
      <w:r>
        <w:rPr>
          <w:sz w:val="24"/>
          <w:szCs w:val="24"/>
          <w:lang w:eastAsia="en-US"/>
        </w:rPr>
        <w:t xml:space="preserve"> и дальнейшего их развития</w:t>
      </w:r>
      <w:r w:rsidRPr="00922681">
        <w:rPr>
          <w:sz w:val="24"/>
          <w:szCs w:val="24"/>
          <w:lang w:eastAsia="en-US"/>
        </w:rPr>
        <w:t>: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Сложившиеся дестинации: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Туристско-рекреационный комплекс Байкальский горнолыжный курорт «Гора Соболиная» (г. Байкальск, п. Утулик)- развитие </w:t>
      </w:r>
      <w:r w:rsidRPr="00DB6250">
        <w:rPr>
          <w:sz w:val="24"/>
          <w:szCs w:val="24"/>
          <w:lang w:eastAsia="en-US"/>
        </w:rPr>
        <w:t>предпринимательск</w:t>
      </w:r>
      <w:r>
        <w:rPr>
          <w:sz w:val="24"/>
          <w:szCs w:val="24"/>
          <w:lang w:eastAsia="en-US"/>
        </w:rPr>
        <w:t>ой</w:t>
      </w:r>
      <w:r w:rsidRPr="00DB6250">
        <w:rPr>
          <w:sz w:val="24"/>
          <w:szCs w:val="24"/>
          <w:lang w:eastAsia="en-US"/>
        </w:rPr>
        <w:t xml:space="preserve"> деятельност</w:t>
      </w:r>
      <w:r>
        <w:rPr>
          <w:sz w:val="24"/>
          <w:szCs w:val="24"/>
          <w:lang w:eastAsia="en-US"/>
        </w:rPr>
        <w:t>и</w:t>
      </w:r>
      <w:r w:rsidRPr="00DB6250">
        <w:rPr>
          <w:sz w:val="24"/>
          <w:szCs w:val="24"/>
          <w:lang w:eastAsia="en-US"/>
        </w:rPr>
        <w:t xml:space="preserve"> в сфере  </w:t>
      </w:r>
      <w:r>
        <w:rPr>
          <w:sz w:val="24"/>
          <w:szCs w:val="24"/>
          <w:lang w:eastAsia="en-US"/>
        </w:rPr>
        <w:t>гостиничного бизнеса и</w:t>
      </w:r>
      <w:r w:rsidRPr="00DB6250">
        <w:rPr>
          <w:sz w:val="24"/>
          <w:szCs w:val="24"/>
          <w:lang w:eastAsia="en-US"/>
        </w:rPr>
        <w:t xml:space="preserve"> общественного питания</w:t>
      </w:r>
      <w:r>
        <w:rPr>
          <w:sz w:val="24"/>
          <w:szCs w:val="24"/>
          <w:lang w:eastAsia="en-US"/>
        </w:rPr>
        <w:t>, в области  спорта, отдыха и развлечений, проката горнолыжного оборудования, производства сувенирной продукции, торговли;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Туристско-рекреационный комплекс «</w:t>
      </w:r>
      <w:proofErr w:type="spellStart"/>
      <w:r>
        <w:rPr>
          <w:sz w:val="24"/>
          <w:szCs w:val="24"/>
          <w:lang w:eastAsia="en-US"/>
        </w:rPr>
        <w:t>Кругобайкальская</w:t>
      </w:r>
      <w:proofErr w:type="spellEnd"/>
      <w:r>
        <w:rPr>
          <w:sz w:val="24"/>
          <w:szCs w:val="24"/>
          <w:lang w:eastAsia="en-US"/>
        </w:rPr>
        <w:t xml:space="preserve"> железная дорога» (</w:t>
      </w:r>
      <w:proofErr w:type="spellStart"/>
      <w:r>
        <w:rPr>
          <w:sz w:val="24"/>
          <w:szCs w:val="24"/>
          <w:lang w:eastAsia="en-US"/>
        </w:rPr>
        <w:t>Култукское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Маритуское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Портбайкальское</w:t>
      </w:r>
      <w:proofErr w:type="spellEnd"/>
      <w:r>
        <w:rPr>
          <w:sz w:val="24"/>
          <w:szCs w:val="24"/>
          <w:lang w:eastAsia="en-US"/>
        </w:rPr>
        <w:t xml:space="preserve"> МО) - развитие ремесленного дела, услуг по предоставлению мест для временного проживания, развитие придомовых хозяйств и ярмарочной торговли.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Перспективные дестинации: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proofErr w:type="gramStart"/>
      <w:r>
        <w:rPr>
          <w:sz w:val="24"/>
          <w:szCs w:val="24"/>
          <w:lang w:eastAsia="en-US"/>
        </w:rPr>
        <w:t xml:space="preserve">Великая Чайная тропа «В горной стране </w:t>
      </w:r>
      <w:proofErr w:type="spellStart"/>
      <w:r>
        <w:rPr>
          <w:sz w:val="24"/>
          <w:szCs w:val="24"/>
          <w:lang w:eastAsia="en-US"/>
        </w:rPr>
        <w:t>Хамар-Дабан</w:t>
      </w:r>
      <w:proofErr w:type="spellEnd"/>
      <w:r>
        <w:rPr>
          <w:sz w:val="24"/>
          <w:szCs w:val="24"/>
          <w:lang w:eastAsia="en-US"/>
        </w:rPr>
        <w:t xml:space="preserve">»  с 5-ю точками входа на тропу (г. </w:t>
      </w:r>
      <w:proofErr w:type="spellStart"/>
      <w:r>
        <w:rPr>
          <w:sz w:val="24"/>
          <w:szCs w:val="24"/>
          <w:lang w:eastAsia="en-US"/>
        </w:rPr>
        <w:t>Слюдянка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 xml:space="preserve">Култук, п. Утулик, г. Байкальск, п. </w:t>
      </w:r>
      <w:proofErr w:type="spellStart"/>
      <w:r>
        <w:rPr>
          <w:sz w:val="24"/>
          <w:szCs w:val="24"/>
          <w:lang w:eastAsia="en-US"/>
        </w:rPr>
        <w:t>Мурино</w:t>
      </w:r>
      <w:proofErr w:type="spellEnd"/>
      <w:r>
        <w:rPr>
          <w:sz w:val="24"/>
          <w:szCs w:val="24"/>
          <w:lang w:eastAsia="en-US"/>
        </w:rPr>
        <w:t xml:space="preserve">)- развитие </w:t>
      </w:r>
      <w:r w:rsidRPr="00DB6250">
        <w:rPr>
          <w:sz w:val="24"/>
          <w:szCs w:val="24"/>
          <w:lang w:eastAsia="en-US"/>
        </w:rPr>
        <w:t>общественного питания</w:t>
      </w:r>
      <w:r>
        <w:rPr>
          <w:sz w:val="24"/>
          <w:szCs w:val="24"/>
          <w:lang w:eastAsia="en-US"/>
        </w:rPr>
        <w:t>, деятельности в области  спорта, отдыха и развлечений,</w:t>
      </w:r>
      <w:r w:rsidRPr="005C770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производства сувенирной продукции, торговли;</w:t>
      </w:r>
      <w:proofErr w:type="gramEnd"/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Усадьба Байкальского Деда Мороза</w:t>
      </w:r>
      <w:r w:rsidRPr="005C770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(г. </w:t>
      </w:r>
      <w:proofErr w:type="spellStart"/>
      <w:r>
        <w:rPr>
          <w:sz w:val="24"/>
          <w:szCs w:val="24"/>
          <w:lang w:eastAsia="en-US"/>
        </w:rPr>
        <w:t>Слюдянка</w:t>
      </w:r>
      <w:proofErr w:type="spellEnd"/>
      <w:r>
        <w:rPr>
          <w:sz w:val="24"/>
          <w:szCs w:val="24"/>
          <w:lang w:eastAsia="en-US"/>
        </w:rPr>
        <w:t xml:space="preserve">) - развитие гостиничного бизнеса, </w:t>
      </w:r>
      <w:r w:rsidRPr="00DB6250">
        <w:rPr>
          <w:sz w:val="24"/>
          <w:szCs w:val="24"/>
          <w:lang w:eastAsia="en-US"/>
        </w:rPr>
        <w:t>общественного питания</w:t>
      </w:r>
      <w:r>
        <w:rPr>
          <w:sz w:val="24"/>
          <w:szCs w:val="24"/>
          <w:lang w:eastAsia="en-US"/>
        </w:rPr>
        <w:t>, деятельности в области  спорта, отдыха и развлечений,</w:t>
      </w:r>
      <w:r w:rsidRPr="005C770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производства сувенирной продукции, торговли, транспорта;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«Байкал-</w:t>
      </w:r>
      <w:proofErr w:type="spellStart"/>
      <w:r>
        <w:rPr>
          <w:sz w:val="24"/>
          <w:szCs w:val="24"/>
          <w:lang w:eastAsia="en-US"/>
        </w:rPr>
        <w:t>Хубсугул</w:t>
      </w:r>
      <w:proofErr w:type="spellEnd"/>
      <w:r>
        <w:rPr>
          <w:sz w:val="24"/>
          <w:szCs w:val="24"/>
          <w:lang w:eastAsia="en-US"/>
        </w:rPr>
        <w:t>» (</w:t>
      </w:r>
      <w:proofErr w:type="spellStart"/>
      <w:r>
        <w:rPr>
          <w:sz w:val="24"/>
          <w:szCs w:val="24"/>
          <w:lang w:eastAsia="en-US"/>
        </w:rPr>
        <w:t>г</w:t>
      </w:r>
      <w:proofErr w:type="gramStart"/>
      <w:r>
        <w:rPr>
          <w:sz w:val="24"/>
          <w:szCs w:val="24"/>
          <w:lang w:eastAsia="en-US"/>
        </w:rPr>
        <w:t>.С</w:t>
      </w:r>
      <w:proofErr w:type="gramEnd"/>
      <w:r>
        <w:rPr>
          <w:sz w:val="24"/>
          <w:szCs w:val="24"/>
          <w:lang w:eastAsia="en-US"/>
        </w:rPr>
        <w:t>людянка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</w:t>
      </w:r>
      <w:proofErr w:type="gramStart"/>
      <w:r>
        <w:rPr>
          <w:sz w:val="24"/>
          <w:szCs w:val="24"/>
          <w:lang w:eastAsia="en-US"/>
        </w:rPr>
        <w:t xml:space="preserve">Култук, </w:t>
      </w:r>
      <w:proofErr w:type="spellStart"/>
      <w:r>
        <w:rPr>
          <w:sz w:val="24"/>
          <w:szCs w:val="24"/>
          <w:lang w:eastAsia="en-US"/>
        </w:rPr>
        <w:t>Быстринское</w:t>
      </w:r>
      <w:proofErr w:type="spellEnd"/>
      <w:r>
        <w:rPr>
          <w:sz w:val="24"/>
          <w:szCs w:val="24"/>
          <w:lang w:eastAsia="en-US"/>
        </w:rPr>
        <w:t xml:space="preserve"> МО и далее по сопряженным территориям – </w:t>
      </w:r>
      <w:proofErr w:type="spellStart"/>
      <w:r>
        <w:rPr>
          <w:sz w:val="24"/>
          <w:szCs w:val="24"/>
          <w:lang w:eastAsia="en-US"/>
        </w:rPr>
        <w:t>Тункинская</w:t>
      </w:r>
      <w:proofErr w:type="spellEnd"/>
      <w:r>
        <w:rPr>
          <w:sz w:val="24"/>
          <w:szCs w:val="24"/>
          <w:lang w:eastAsia="en-US"/>
        </w:rPr>
        <w:t xml:space="preserve"> долина, Монголия) развитие гостиничного бизнеса, </w:t>
      </w:r>
      <w:r w:rsidRPr="00DB6250">
        <w:rPr>
          <w:sz w:val="24"/>
          <w:szCs w:val="24"/>
          <w:lang w:eastAsia="en-US"/>
        </w:rPr>
        <w:t>общественного питания</w:t>
      </w:r>
      <w:r>
        <w:rPr>
          <w:sz w:val="24"/>
          <w:szCs w:val="24"/>
          <w:lang w:eastAsia="en-US"/>
        </w:rPr>
        <w:t>, деятельности в области  спорта, отдых и развлечений,</w:t>
      </w:r>
      <w:r w:rsidRPr="005C770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деятельность объектов культуры, производства сувенирной продукции, транспорта.</w:t>
      </w:r>
      <w:proofErr w:type="gramEnd"/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Анализ сферы туризма за 2017 год характеризуется следующими итогами.</w:t>
      </w:r>
    </w:p>
    <w:p w:rsidR="00146863" w:rsidRPr="003471F5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2017 году на территории района </w:t>
      </w:r>
      <w:r w:rsidRPr="003471F5">
        <w:rPr>
          <w:sz w:val="24"/>
          <w:szCs w:val="24"/>
          <w:lang w:eastAsia="en-US"/>
        </w:rPr>
        <w:t>действов</w:t>
      </w:r>
      <w:r>
        <w:rPr>
          <w:sz w:val="24"/>
          <w:szCs w:val="24"/>
          <w:lang w:eastAsia="en-US"/>
        </w:rPr>
        <w:t>али 44</w:t>
      </w:r>
      <w:r w:rsidRPr="003471F5">
        <w:rPr>
          <w:sz w:val="24"/>
          <w:szCs w:val="24"/>
          <w:lang w:eastAsia="en-US"/>
        </w:rPr>
        <w:t xml:space="preserve"> коллективных средств размещения, единовременная в</w:t>
      </w:r>
      <w:r>
        <w:rPr>
          <w:sz w:val="24"/>
          <w:szCs w:val="24"/>
          <w:lang w:eastAsia="en-US"/>
        </w:rPr>
        <w:t>местимость которых составляет 2963</w:t>
      </w:r>
      <w:r w:rsidRPr="003471F5">
        <w:rPr>
          <w:sz w:val="24"/>
          <w:szCs w:val="24"/>
          <w:lang w:eastAsia="en-US"/>
        </w:rPr>
        <w:t xml:space="preserve"> человек.</w:t>
      </w:r>
    </w:p>
    <w:p w:rsidR="00146863" w:rsidRPr="003471F5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 w:rsidRPr="003471F5">
        <w:rPr>
          <w:sz w:val="24"/>
          <w:szCs w:val="24"/>
          <w:lang w:eastAsia="en-US"/>
        </w:rPr>
        <w:t>Из них:</w:t>
      </w:r>
    </w:p>
    <w:p w:rsidR="00146863" w:rsidRPr="00C547F0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 w:rsidRPr="00C547F0">
        <w:rPr>
          <w:sz w:val="24"/>
          <w:szCs w:val="24"/>
          <w:lang w:eastAsia="en-US"/>
        </w:rPr>
        <w:t>Гостиниц/о</w:t>
      </w:r>
      <w:r>
        <w:rPr>
          <w:sz w:val="24"/>
          <w:szCs w:val="24"/>
          <w:lang w:eastAsia="en-US"/>
        </w:rPr>
        <w:t>телей/хостелов/мини-гостиниц – 20</w:t>
      </w:r>
      <w:r w:rsidRPr="00C547F0">
        <w:rPr>
          <w:sz w:val="24"/>
          <w:szCs w:val="24"/>
          <w:lang w:eastAsia="en-US"/>
        </w:rPr>
        <w:t xml:space="preserve"> ед. </w:t>
      </w:r>
    </w:p>
    <w:p w:rsidR="00146863" w:rsidRPr="00C547F0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 w:rsidRPr="00C547F0">
        <w:rPr>
          <w:sz w:val="24"/>
          <w:szCs w:val="24"/>
          <w:lang w:eastAsia="en-US"/>
        </w:rPr>
        <w:t>Турбаз, баз отдыха, домов отдыха, гостевых домов и коттед</w:t>
      </w:r>
      <w:r>
        <w:rPr>
          <w:sz w:val="24"/>
          <w:szCs w:val="24"/>
          <w:lang w:eastAsia="en-US"/>
        </w:rPr>
        <w:t>жей, остановочные комплексы – 21</w:t>
      </w:r>
      <w:r w:rsidRPr="00C547F0">
        <w:rPr>
          <w:sz w:val="24"/>
          <w:szCs w:val="24"/>
          <w:lang w:eastAsia="en-US"/>
        </w:rPr>
        <w:t xml:space="preserve"> ед. </w:t>
      </w:r>
    </w:p>
    <w:p w:rsidR="00146863" w:rsidRPr="00C547F0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 w:rsidRPr="00C547F0">
        <w:rPr>
          <w:sz w:val="24"/>
          <w:szCs w:val="24"/>
          <w:lang w:eastAsia="en-US"/>
        </w:rPr>
        <w:t xml:space="preserve">Меблированных комнат – 1 ед. </w:t>
      </w:r>
    </w:p>
    <w:p w:rsidR="00146863" w:rsidRPr="00C547F0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 w:rsidRPr="00C547F0">
        <w:rPr>
          <w:sz w:val="24"/>
          <w:szCs w:val="24"/>
          <w:lang w:eastAsia="en-US"/>
        </w:rPr>
        <w:t xml:space="preserve">Санаториев – 1 ед. 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 w:rsidRPr="00C547F0">
        <w:rPr>
          <w:sz w:val="24"/>
          <w:szCs w:val="24"/>
          <w:lang w:eastAsia="en-US"/>
        </w:rPr>
        <w:t xml:space="preserve">Туристических комплексов – 1 ед. 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Анализ туристского потока по экспертным данным</w:t>
      </w:r>
      <w:r w:rsidRPr="003471F5">
        <w:rPr>
          <w:sz w:val="24"/>
          <w:szCs w:val="24"/>
          <w:lang w:eastAsia="en-US"/>
        </w:rPr>
        <w:t xml:space="preserve"> показ</w:t>
      </w:r>
      <w:r>
        <w:rPr>
          <w:sz w:val="24"/>
          <w:szCs w:val="24"/>
          <w:lang w:eastAsia="en-US"/>
        </w:rPr>
        <w:t>ал</w:t>
      </w:r>
      <w:r w:rsidRPr="003471F5">
        <w:rPr>
          <w:sz w:val="24"/>
          <w:szCs w:val="24"/>
          <w:lang w:eastAsia="en-US"/>
        </w:rPr>
        <w:t>, что поток туристов, посет</w:t>
      </w:r>
      <w:r>
        <w:rPr>
          <w:sz w:val="24"/>
          <w:szCs w:val="24"/>
          <w:lang w:eastAsia="en-US"/>
        </w:rPr>
        <w:t>ивших Слюдянский район, составил</w:t>
      </w:r>
      <w:r w:rsidRPr="003471F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u w:val="single"/>
          <w:lang w:eastAsia="en-US"/>
        </w:rPr>
        <w:t xml:space="preserve">231 081 </w:t>
      </w:r>
      <w:r w:rsidRPr="00430308">
        <w:rPr>
          <w:sz w:val="24"/>
          <w:szCs w:val="24"/>
          <w:u w:val="single"/>
          <w:lang w:eastAsia="en-US"/>
        </w:rPr>
        <w:t>человек</w:t>
      </w:r>
      <w:r>
        <w:rPr>
          <w:sz w:val="24"/>
          <w:szCs w:val="24"/>
          <w:lang w:eastAsia="en-US"/>
        </w:rPr>
        <w:t xml:space="preserve"> в 2017 году</w:t>
      </w:r>
      <w:r w:rsidRPr="003471F5">
        <w:rPr>
          <w:sz w:val="24"/>
          <w:szCs w:val="24"/>
          <w:lang w:eastAsia="en-US"/>
        </w:rPr>
        <w:t xml:space="preserve"> к </w:t>
      </w:r>
      <w:r w:rsidRPr="00C547F0">
        <w:rPr>
          <w:sz w:val="24"/>
          <w:szCs w:val="24"/>
          <w:lang w:eastAsia="en-US"/>
        </w:rPr>
        <w:t>249</w:t>
      </w:r>
      <w:r>
        <w:rPr>
          <w:sz w:val="24"/>
          <w:szCs w:val="24"/>
          <w:lang w:eastAsia="en-US"/>
        </w:rPr>
        <w:t xml:space="preserve"> </w:t>
      </w:r>
      <w:r w:rsidRPr="00C547F0">
        <w:rPr>
          <w:sz w:val="24"/>
          <w:szCs w:val="24"/>
          <w:lang w:eastAsia="en-US"/>
        </w:rPr>
        <w:t>597</w:t>
      </w:r>
      <w:r w:rsidRPr="003471F5">
        <w:rPr>
          <w:sz w:val="24"/>
          <w:szCs w:val="24"/>
          <w:lang w:eastAsia="en-US"/>
        </w:rPr>
        <w:t>человек 201</w:t>
      </w:r>
      <w:r>
        <w:rPr>
          <w:sz w:val="24"/>
          <w:szCs w:val="24"/>
          <w:lang w:eastAsia="en-US"/>
        </w:rPr>
        <w:t xml:space="preserve">6 года, </w:t>
      </w:r>
      <w:proofErr w:type="spellStart"/>
      <w:r>
        <w:rPr>
          <w:sz w:val="24"/>
          <w:szCs w:val="24"/>
          <w:lang w:eastAsia="en-US"/>
        </w:rPr>
        <w:t>т.о</w:t>
      </w:r>
      <w:proofErr w:type="spellEnd"/>
      <w:r>
        <w:rPr>
          <w:sz w:val="24"/>
          <w:szCs w:val="24"/>
          <w:lang w:eastAsia="en-US"/>
        </w:rPr>
        <w:t>. прирост составил 92,6</w:t>
      </w:r>
      <w:r w:rsidRPr="003471F5">
        <w:rPr>
          <w:sz w:val="24"/>
          <w:szCs w:val="24"/>
          <w:lang w:eastAsia="en-US"/>
        </w:rPr>
        <w:t xml:space="preserve">%,  из них по оценочным данным, количество диких туристов </w:t>
      </w:r>
      <w:r>
        <w:rPr>
          <w:sz w:val="24"/>
          <w:szCs w:val="24"/>
          <w:lang w:eastAsia="en-US"/>
        </w:rPr>
        <w:t xml:space="preserve">составило 19000 человек, количество туристов посетивших КБЖД 56 000 человек, количество туристов, прибывших на территорию района с 1-дневным </w:t>
      </w:r>
      <w:r>
        <w:rPr>
          <w:sz w:val="24"/>
          <w:szCs w:val="24"/>
          <w:lang w:eastAsia="en-US"/>
        </w:rPr>
        <w:lastRenderedPageBreak/>
        <w:t xml:space="preserve">пребыванием, в </w:t>
      </w:r>
      <w:proofErr w:type="spellStart"/>
      <w:r>
        <w:rPr>
          <w:sz w:val="24"/>
          <w:szCs w:val="24"/>
          <w:lang w:eastAsia="en-US"/>
        </w:rPr>
        <w:t>т.ч</w:t>
      </w:r>
      <w:proofErr w:type="spellEnd"/>
      <w:proofErr w:type="gramEnd"/>
      <w:r>
        <w:rPr>
          <w:sz w:val="24"/>
          <w:szCs w:val="24"/>
          <w:lang w:eastAsia="en-US"/>
        </w:rPr>
        <w:t xml:space="preserve">. на событийные мероприятия и горнолыжный курорт составило 119 415 чел., </w:t>
      </w:r>
      <w:proofErr w:type="gramStart"/>
      <w:r w:rsidRPr="003471F5">
        <w:rPr>
          <w:sz w:val="24"/>
          <w:szCs w:val="24"/>
          <w:lang w:eastAsia="en-US"/>
        </w:rPr>
        <w:t xml:space="preserve">туристов, воспользовавшихся услугами по размещению </w:t>
      </w:r>
      <w:r>
        <w:rPr>
          <w:sz w:val="24"/>
          <w:szCs w:val="24"/>
          <w:lang w:eastAsia="en-US"/>
        </w:rPr>
        <w:t>в коллективных средствах размещения составило</w:t>
      </w:r>
      <w:proofErr w:type="gramEnd"/>
      <w:r>
        <w:rPr>
          <w:sz w:val="24"/>
          <w:szCs w:val="24"/>
          <w:lang w:eastAsia="en-US"/>
        </w:rPr>
        <w:t xml:space="preserve"> </w:t>
      </w:r>
      <w:r w:rsidRPr="003471F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31 090</w:t>
      </w:r>
      <w:r w:rsidRPr="003471F5">
        <w:rPr>
          <w:sz w:val="24"/>
          <w:szCs w:val="24"/>
          <w:lang w:eastAsia="en-US"/>
        </w:rPr>
        <w:t xml:space="preserve"> чел.</w:t>
      </w:r>
      <w:r>
        <w:rPr>
          <w:sz w:val="24"/>
          <w:szCs w:val="24"/>
          <w:lang w:eastAsia="en-US"/>
        </w:rPr>
        <w:t xml:space="preserve">, что составляет 13,5% от числа всех прибывших туристов на территорию. 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Общее снижение туристского потока в территорию связано с ремонтными работами подъемника на горнолыжном курорте, которые длились 4 месяца с </w:t>
      </w:r>
      <w:r w:rsidRPr="00C547F0">
        <w:rPr>
          <w:sz w:val="24"/>
          <w:szCs w:val="24"/>
          <w:lang w:eastAsia="en-US"/>
        </w:rPr>
        <w:t>25.06-31.10</w:t>
      </w:r>
      <w:r>
        <w:rPr>
          <w:sz w:val="24"/>
          <w:szCs w:val="24"/>
          <w:lang w:eastAsia="en-US"/>
        </w:rPr>
        <w:t xml:space="preserve"> (потери составили порядка 9% от общего тур потока).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разрезе сезонного анализа туристского потока, наибольшее количество прибытий было в июле (14,75%), марте (12,34%), январе (12,82%), феврале (11,89%), августе (9,7%), июне (9,66%). Мертвым сезоном стали октябрь (2,1%) и ноябрь (1,35%). Таким образом, туристские прибытия распределены наибольшим образом в зимний и летний периоды с наибольшим уклоном в первую половину года.  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</w:p>
    <w:p w:rsidR="00146863" w:rsidRDefault="00146863" w:rsidP="00146863">
      <w:pPr>
        <w:jc w:val="center"/>
        <w:rPr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335EBF1A" wp14:editId="54D62787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 w:rsidRPr="00EB228E">
        <w:rPr>
          <w:sz w:val="24"/>
          <w:szCs w:val="24"/>
          <w:lang w:eastAsia="en-US"/>
        </w:rPr>
        <w:t>Основной организованный  поток гене</w:t>
      </w:r>
      <w:r>
        <w:rPr>
          <w:sz w:val="24"/>
          <w:szCs w:val="24"/>
          <w:lang w:eastAsia="en-US"/>
        </w:rPr>
        <w:t>рируется в зимний период  горно</w:t>
      </w:r>
      <w:r w:rsidRPr="00EB228E">
        <w:rPr>
          <w:sz w:val="24"/>
          <w:szCs w:val="24"/>
          <w:lang w:eastAsia="en-US"/>
        </w:rPr>
        <w:t xml:space="preserve">лыжным курортом гора Соболиная, в летний период  </w:t>
      </w:r>
      <w:proofErr w:type="spellStart"/>
      <w:r w:rsidRPr="00EB228E">
        <w:rPr>
          <w:sz w:val="24"/>
          <w:szCs w:val="24"/>
          <w:lang w:eastAsia="en-US"/>
        </w:rPr>
        <w:t>Кругобайкальской</w:t>
      </w:r>
      <w:proofErr w:type="spellEnd"/>
      <w:r w:rsidRPr="00EB228E">
        <w:rPr>
          <w:sz w:val="24"/>
          <w:szCs w:val="24"/>
          <w:lang w:eastAsia="en-US"/>
        </w:rPr>
        <w:t xml:space="preserve"> железной дорогой</w:t>
      </w:r>
      <w:r>
        <w:rPr>
          <w:sz w:val="24"/>
          <w:szCs w:val="24"/>
          <w:lang w:eastAsia="en-US"/>
        </w:rPr>
        <w:t>, в меньшей степени объектами притяжения являются горные отроги</w:t>
      </w:r>
      <w:r w:rsidRPr="00EB228E">
        <w:rPr>
          <w:sz w:val="24"/>
          <w:szCs w:val="24"/>
          <w:lang w:eastAsia="en-US"/>
        </w:rPr>
        <w:t xml:space="preserve"> </w:t>
      </w:r>
      <w:proofErr w:type="spellStart"/>
      <w:r w:rsidRPr="00EB228E">
        <w:rPr>
          <w:sz w:val="24"/>
          <w:szCs w:val="24"/>
          <w:lang w:eastAsia="en-US"/>
        </w:rPr>
        <w:t>Хамар-Дабана</w:t>
      </w:r>
      <w:proofErr w:type="spellEnd"/>
      <w:r>
        <w:rPr>
          <w:sz w:val="24"/>
          <w:szCs w:val="24"/>
          <w:lang w:eastAsia="en-US"/>
        </w:rPr>
        <w:t xml:space="preserve"> и дикие пляжи (побережье озера)</w:t>
      </w:r>
      <w:r w:rsidRPr="00EB228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</w:p>
    <w:p w:rsidR="00146863" w:rsidRDefault="00146863" w:rsidP="00146863">
      <w:pPr>
        <w:keepNext/>
        <w:jc w:val="center"/>
      </w:pPr>
      <w:r>
        <w:rPr>
          <w:noProof/>
          <w:sz w:val="24"/>
          <w:szCs w:val="24"/>
        </w:rPr>
        <w:drawing>
          <wp:inline distT="0" distB="0" distL="0" distR="0" wp14:anchorId="36B75324" wp14:editId="31FD518A">
            <wp:extent cx="5943600" cy="2152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Объем туристского потока Южного Прибайкалья в 2017 году составляет в объеме туристского потока Иркутской области 14,4%.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 w:rsidRPr="00822BA5">
        <w:rPr>
          <w:sz w:val="24"/>
          <w:szCs w:val="24"/>
          <w:lang w:eastAsia="en-US"/>
        </w:rPr>
        <w:t xml:space="preserve">Объем </w:t>
      </w:r>
      <w:r>
        <w:rPr>
          <w:sz w:val="24"/>
          <w:szCs w:val="24"/>
          <w:lang w:eastAsia="en-US"/>
        </w:rPr>
        <w:t>предоставленных платных услуг по оценочным данным в туристско-рекреационной сфере</w:t>
      </w:r>
      <w:r w:rsidRPr="00822BA5">
        <w:rPr>
          <w:sz w:val="24"/>
          <w:szCs w:val="24"/>
          <w:lang w:eastAsia="en-US"/>
        </w:rPr>
        <w:t xml:space="preserve"> в муниципальном образовании Слюдянский район  составил  30</w:t>
      </w:r>
      <w:r>
        <w:rPr>
          <w:sz w:val="24"/>
          <w:szCs w:val="24"/>
          <w:lang w:eastAsia="en-US"/>
        </w:rPr>
        <w:t>8</w:t>
      </w:r>
      <w:r w:rsidRPr="00822BA5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9</w:t>
      </w:r>
      <w:r w:rsidRPr="00822BA5">
        <w:rPr>
          <w:sz w:val="24"/>
          <w:szCs w:val="24"/>
          <w:lang w:eastAsia="en-US"/>
        </w:rPr>
        <w:t xml:space="preserve"> </w:t>
      </w:r>
      <w:r w:rsidRPr="00822BA5">
        <w:rPr>
          <w:sz w:val="24"/>
          <w:szCs w:val="24"/>
          <w:lang w:eastAsia="en-US"/>
        </w:rPr>
        <w:lastRenderedPageBreak/>
        <w:t>млн.</w:t>
      </w:r>
      <w:r>
        <w:rPr>
          <w:sz w:val="24"/>
          <w:szCs w:val="24"/>
          <w:lang w:eastAsia="en-US"/>
        </w:rPr>
        <w:t xml:space="preserve"> </w:t>
      </w:r>
      <w:r w:rsidRPr="00822BA5">
        <w:rPr>
          <w:sz w:val="24"/>
          <w:szCs w:val="24"/>
          <w:lang w:eastAsia="en-US"/>
        </w:rPr>
        <w:t>руб</w:t>
      </w:r>
      <w:r>
        <w:rPr>
          <w:sz w:val="24"/>
          <w:szCs w:val="24"/>
          <w:lang w:eastAsia="en-US"/>
        </w:rPr>
        <w:t>.</w:t>
      </w:r>
      <w:r w:rsidRPr="00822BA5">
        <w:rPr>
          <w:sz w:val="24"/>
          <w:szCs w:val="24"/>
          <w:lang w:eastAsia="en-US"/>
        </w:rPr>
        <w:t xml:space="preserve"> к </w:t>
      </w:r>
      <w:r>
        <w:rPr>
          <w:sz w:val="24"/>
          <w:szCs w:val="24"/>
          <w:lang w:eastAsia="en-US"/>
        </w:rPr>
        <w:t>300,1</w:t>
      </w:r>
      <w:r w:rsidRPr="00822BA5">
        <w:rPr>
          <w:sz w:val="24"/>
          <w:szCs w:val="24"/>
          <w:lang w:eastAsia="en-US"/>
        </w:rPr>
        <w:t xml:space="preserve"> млн. руб. данных 201</w:t>
      </w:r>
      <w:r>
        <w:rPr>
          <w:sz w:val="24"/>
          <w:szCs w:val="24"/>
          <w:lang w:eastAsia="en-US"/>
        </w:rPr>
        <w:t xml:space="preserve">6 года, </w:t>
      </w:r>
      <w:proofErr w:type="spellStart"/>
      <w:r>
        <w:rPr>
          <w:sz w:val="24"/>
          <w:szCs w:val="24"/>
          <w:lang w:eastAsia="en-US"/>
        </w:rPr>
        <w:t>т.о</w:t>
      </w:r>
      <w:proofErr w:type="spellEnd"/>
      <w:r>
        <w:rPr>
          <w:sz w:val="24"/>
          <w:szCs w:val="24"/>
          <w:lang w:eastAsia="en-US"/>
        </w:rPr>
        <w:t>. прирост составил  3% (что составляет 5,5% аналогичного объема Иркутской области).</w:t>
      </w:r>
      <w:r w:rsidRPr="00822BA5">
        <w:rPr>
          <w:sz w:val="24"/>
          <w:szCs w:val="24"/>
          <w:lang w:eastAsia="en-US"/>
        </w:rPr>
        <w:t xml:space="preserve"> 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</w:p>
    <w:p w:rsidR="00146863" w:rsidRDefault="00146863" w:rsidP="00146863">
      <w:pPr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 wp14:anchorId="5E2DDD38" wp14:editId="208C8F21">
            <wp:extent cx="5800725" cy="3200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</w:p>
    <w:p w:rsidR="00146863" w:rsidRPr="00EC0245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 w:rsidRPr="00EC0245">
        <w:rPr>
          <w:sz w:val="24"/>
          <w:szCs w:val="24"/>
          <w:lang w:eastAsia="en-US"/>
        </w:rPr>
        <w:t>Численность занятых в сфере туризма сохранилась на уровне 2015 года и составляет 565 чел. Доля занятых в туризме от общего количества занятых в экономике района составляет в 2016 году – 4,2 %, что соответствует уровню прошлого года.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 w:rsidRPr="0007433B">
        <w:rPr>
          <w:sz w:val="24"/>
          <w:szCs w:val="24"/>
          <w:lang w:eastAsia="en-US"/>
        </w:rPr>
        <w:t xml:space="preserve">На территории муниципального образования  Слюдянский район </w:t>
      </w:r>
      <w:r>
        <w:rPr>
          <w:sz w:val="24"/>
          <w:szCs w:val="24"/>
          <w:lang w:eastAsia="en-US"/>
        </w:rPr>
        <w:t>осуществляют свою деятельность 6</w:t>
      </w:r>
      <w:r w:rsidRPr="0007433B">
        <w:rPr>
          <w:sz w:val="24"/>
          <w:szCs w:val="24"/>
          <w:lang w:eastAsia="en-US"/>
        </w:rPr>
        <w:t xml:space="preserve"> туроператор</w:t>
      </w:r>
      <w:r>
        <w:rPr>
          <w:sz w:val="24"/>
          <w:szCs w:val="24"/>
          <w:lang w:eastAsia="en-US"/>
        </w:rPr>
        <w:t>ов</w:t>
      </w:r>
      <w:r w:rsidRPr="0007433B">
        <w:rPr>
          <w:sz w:val="24"/>
          <w:szCs w:val="24"/>
          <w:lang w:eastAsia="en-US"/>
        </w:rPr>
        <w:t>, зарегистрированных в установленном законом порядке</w:t>
      </w:r>
      <w:r>
        <w:rPr>
          <w:sz w:val="24"/>
          <w:szCs w:val="24"/>
          <w:lang w:eastAsia="en-US"/>
        </w:rPr>
        <w:t xml:space="preserve"> (</w:t>
      </w:r>
      <w:proofErr w:type="spellStart"/>
      <w:r>
        <w:rPr>
          <w:sz w:val="24"/>
          <w:szCs w:val="24"/>
          <w:lang w:eastAsia="en-US"/>
        </w:rPr>
        <w:t>БйкалЭкологияТуризм</w:t>
      </w:r>
      <w:proofErr w:type="spellEnd"/>
      <w:r>
        <w:rPr>
          <w:sz w:val="24"/>
          <w:szCs w:val="24"/>
          <w:lang w:eastAsia="en-US"/>
        </w:rPr>
        <w:t xml:space="preserve">, Байкальская сказка, Аккорд, </w:t>
      </w:r>
      <w:proofErr w:type="spellStart"/>
      <w:r>
        <w:rPr>
          <w:sz w:val="24"/>
          <w:szCs w:val="24"/>
          <w:lang w:eastAsia="en-US"/>
        </w:rPr>
        <w:t>Диалан</w:t>
      </w:r>
      <w:proofErr w:type="spellEnd"/>
      <w:r>
        <w:rPr>
          <w:sz w:val="24"/>
          <w:szCs w:val="24"/>
          <w:lang w:eastAsia="en-US"/>
        </w:rPr>
        <w:t xml:space="preserve"> Байкал, БГК Гора Соболиная, </w:t>
      </w:r>
      <w:proofErr w:type="spellStart"/>
      <w:r>
        <w:rPr>
          <w:sz w:val="24"/>
          <w:szCs w:val="24"/>
          <w:lang w:eastAsia="en-US"/>
        </w:rPr>
        <w:t>БайкалТуризм</w:t>
      </w:r>
      <w:proofErr w:type="spellEnd"/>
      <w:r>
        <w:rPr>
          <w:sz w:val="24"/>
          <w:szCs w:val="24"/>
          <w:lang w:eastAsia="en-US"/>
        </w:rPr>
        <w:t>)</w:t>
      </w:r>
      <w:r w:rsidRPr="0007433B">
        <w:rPr>
          <w:sz w:val="24"/>
          <w:szCs w:val="24"/>
          <w:lang w:eastAsia="en-US"/>
        </w:rPr>
        <w:t>.</w:t>
      </w:r>
    </w:p>
    <w:p w:rsidR="00146863" w:rsidRDefault="00146863" w:rsidP="00146863">
      <w:pPr>
        <w:spacing w:line="276" w:lineRule="auto"/>
        <w:jc w:val="center"/>
        <w:rPr>
          <w:sz w:val="24"/>
          <w:szCs w:val="24"/>
          <w:lang w:eastAsia="en-US"/>
        </w:rPr>
      </w:pPr>
    </w:p>
    <w:p w:rsidR="00146863" w:rsidRPr="00BF3BCA" w:rsidRDefault="00146863" w:rsidP="00146863">
      <w:pPr>
        <w:spacing w:line="276" w:lineRule="auto"/>
        <w:jc w:val="center"/>
        <w:rPr>
          <w:sz w:val="24"/>
          <w:szCs w:val="24"/>
          <w:lang w:eastAsia="en-US"/>
        </w:rPr>
      </w:pPr>
      <w:r w:rsidRPr="00BF3BCA">
        <w:rPr>
          <w:sz w:val="24"/>
          <w:szCs w:val="24"/>
          <w:lang w:eastAsia="en-US"/>
        </w:rPr>
        <w:t>Основные показатели развития туристской деятельности Слюдянского района за трехлетний период (2014-2016 годы)</w:t>
      </w:r>
    </w:p>
    <w:tbl>
      <w:tblPr>
        <w:tblStyle w:val="3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992"/>
        <w:gridCol w:w="851"/>
        <w:gridCol w:w="1701"/>
      </w:tblGrid>
      <w:tr w:rsidR="00146863" w:rsidRPr="000E1DCF" w:rsidTr="00113FE4">
        <w:tc>
          <w:tcPr>
            <w:tcW w:w="2943" w:type="dxa"/>
          </w:tcPr>
          <w:p w:rsidR="00146863" w:rsidRPr="000E1DCF" w:rsidRDefault="00146863" w:rsidP="00113FE4">
            <w:pPr>
              <w:spacing w:line="276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Показатель </w:t>
            </w:r>
          </w:p>
        </w:tc>
        <w:tc>
          <w:tcPr>
            <w:tcW w:w="993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Темп роста 201</w:t>
            </w:r>
            <w:r>
              <w:rPr>
                <w:sz w:val="22"/>
                <w:szCs w:val="22"/>
              </w:rPr>
              <w:t>7 к 2016</w:t>
            </w:r>
            <w:r w:rsidRPr="000E1DCF">
              <w:rPr>
                <w:sz w:val="22"/>
                <w:szCs w:val="22"/>
              </w:rPr>
              <w:t xml:space="preserve"> году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701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Доля показателей Слюдянского района в показ</w:t>
            </w:r>
            <w:r>
              <w:rPr>
                <w:sz w:val="22"/>
                <w:szCs w:val="22"/>
              </w:rPr>
              <w:t>ателях Иркутской области за 2017</w:t>
            </w:r>
            <w:r w:rsidRPr="000E1DC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,%</w:t>
            </w:r>
          </w:p>
        </w:tc>
      </w:tr>
      <w:tr w:rsidR="00146863" w:rsidRPr="000E1DCF" w:rsidTr="00113FE4">
        <w:tc>
          <w:tcPr>
            <w:tcW w:w="2943" w:type="dxa"/>
          </w:tcPr>
          <w:p w:rsidR="00146863" w:rsidRPr="000E1DCF" w:rsidRDefault="00146863" w:rsidP="00113FE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E1DCF">
              <w:rPr>
                <w:sz w:val="22"/>
                <w:szCs w:val="22"/>
                <w:lang w:eastAsia="en-US"/>
              </w:rPr>
              <w:t xml:space="preserve">Туристский поток, </w:t>
            </w:r>
            <w:proofErr w:type="spellStart"/>
            <w:r w:rsidRPr="000E1DCF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0E1DCF">
              <w:rPr>
                <w:sz w:val="22"/>
                <w:szCs w:val="22"/>
                <w:lang w:eastAsia="en-US"/>
              </w:rPr>
              <w:t>.ч</w:t>
            </w:r>
            <w:proofErr w:type="gramEnd"/>
            <w:r w:rsidRPr="000E1DCF">
              <w:rPr>
                <w:sz w:val="22"/>
                <w:szCs w:val="22"/>
                <w:lang w:eastAsia="en-US"/>
              </w:rPr>
              <w:t>ел</w:t>
            </w:r>
            <w:proofErr w:type="spellEnd"/>
            <w:r w:rsidRPr="000E1DC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216,533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217,942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249,597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231,081</w:t>
            </w:r>
          </w:p>
        </w:tc>
        <w:tc>
          <w:tcPr>
            <w:tcW w:w="851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1701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</w:tr>
      <w:tr w:rsidR="00146863" w:rsidRPr="000E1DCF" w:rsidTr="00113FE4">
        <w:tc>
          <w:tcPr>
            <w:tcW w:w="2943" w:type="dxa"/>
          </w:tcPr>
          <w:p w:rsidR="00146863" w:rsidRPr="000E1DCF" w:rsidRDefault="00146863" w:rsidP="00113FE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E1DCF">
              <w:rPr>
                <w:sz w:val="22"/>
                <w:szCs w:val="22"/>
                <w:lang w:eastAsia="en-US"/>
              </w:rPr>
              <w:t xml:space="preserve">Объем туристских услуг, </w:t>
            </w:r>
            <w:proofErr w:type="spellStart"/>
            <w:r>
              <w:rPr>
                <w:sz w:val="22"/>
                <w:szCs w:val="22"/>
                <w:lang w:eastAsia="en-US"/>
              </w:rPr>
              <w:t>млн</w:t>
            </w:r>
            <w:proofErr w:type="gramStart"/>
            <w:r w:rsidRPr="000E1DCF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0E1DCF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0E1DC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178,1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237,2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300,1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308,9</w:t>
            </w:r>
          </w:p>
        </w:tc>
        <w:tc>
          <w:tcPr>
            <w:tcW w:w="851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701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146863" w:rsidRPr="000E1DCF" w:rsidTr="00113FE4">
        <w:tc>
          <w:tcPr>
            <w:tcW w:w="2943" w:type="dxa"/>
          </w:tcPr>
          <w:p w:rsidR="00146863" w:rsidRPr="000E1DCF" w:rsidRDefault="00146863" w:rsidP="00113FE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E1DCF">
              <w:rPr>
                <w:sz w:val="22"/>
                <w:szCs w:val="22"/>
                <w:lang w:eastAsia="en-US"/>
              </w:rPr>
              <w:t>Занятость в туризме, ед.</w:t>
            </w:r>
          </w:p>
        </w:tc>
        <w:tc>
          <w:tcPr>
            <w:tcW w:w="993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565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565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565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851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н/д</w:t>
            </w:r>
          </w:p>
        </w:tc>
      </w:tr>
      <w:tr w:rsidR="00146863" w:rsidRPr="000E1DCF" w:rsidTr="00113FE4">
        <w:tc>
          <w:tcPr>
            <w:tcW w:w="2943" w:type="dxa"/>
          </w:tcPr>
          <w:p w:rsidR="00146863" w:rsidRPr="000E1DCF" w:rsidRDefault="00146863" w:rsidP="00113FE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E1DCF">
              <w:rPr>
                <w:sz w:val="22"/>
                <w:szCs w:val="22"/>
                <w:lang w:eastAsia="en-US"/>
              </w:rPr>
              <w:t>Количество КСР, ед.</w:t>
            </w:r>
          </w:p>
        </w:tc>
        <w:tc>
          <w:tcPr>
            <w:tcW w:w="993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</w:tcPr>
          <w:p w:rsidR="00146863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1701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146863" w:rsidRPr="000E1DCF" w:rsidTr="00113FE4">
        <w:tc>
          <w:tcPr>
            <w:tcW w:w="2943" w:type="dxa"/>
          </w:tcPr>
          <w:p w:rsidR="00146863" w:rsidRPr="000E1DCF" w:rsidRDefault="00146863" w:rsidP="00113FE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E1DCF">
              <w:rPr>
                <w:sz w:val="22"/>
                <w:szCs w:val="22"/>
                <w:lang w:eastAsia="en-US"/>
              </w:rPr>
              <w:t>Количество койко-мест, ед.</w:t>
            </w:r>
          </w:p>
        </w:tc>
        <w:tc>
          <w:tcPr>
            <w:tcW w:w="993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2836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3259</w:t>
            </w:r>
          </w:p>
        </w:tc>
        <w:tc>
          <w:tcPr>
            <w:tcW w:w="992" w:type="dxa"/>
          </w:tcPr>
          <w:p w:rsidR="00146863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2963</w:t>
            </w:r>
          </w:p>
        </w:tc>
        <w:tc>
          <w:tcPr>
            <w:tcW w:w="851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н/д</w:t>
            </w:r>
          </w:p>
        </w:tc>
      </w:tr>
      <w:tr w:rsidR="00146863" w:rsidRPr="000E1DCF" w:rsidTr="00113FE4">
        <w:tc>
          <w:tcPr>
            <w:tcW w:w="2943" w:type="dxa"/>
          </w:tcPr>
          <w:p w:rsidR="00146863" w:rsidRPr="000E1DCF" w:rsidRDefault="00146863" w:rsidP="00113FE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E1DCF">
              <w:rPr>
                <w:sz w:val="22"/>
                <w:szCs w:val="22"/>
                <w:lang w:eastAsia="en-US"/>
              </w:rPr>
              <w:t>Количество туроператоров, зарегистрированных в Реестре, ед.</w:t>
            </w:r>
          </w:p>
        </w:tc>
        <w:tc>
          <w:tcPr>
            <w:tcW w:w="993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46863" w:rsidRPr="005B1A14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46863" w:rsidRPr="000E1DCF" w:rsidTr="00113FE4">
        <w:tc>
          <w:tcPr>
            <w:tcW w:w="2943" w:type="dxa"/>
          </w:tcPr>
          <w:p w:rsidR="00146863" w:rsidRPr="000E1DCF" w:rsidRDefault="00146863" w:rsidP="00113FE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E1DCF">
              <w:rPr>
                <w:sz w:val="22"/>
                <w:szCs w:val="22"/>
                <w:lang w:eastAsia="en-US"/>
              </w:rPr>
              <w:t xml:space="preserve">Количество мероприятий </w:t>
            </w:r>
            <w:r w:rsidRPr="000E1DCF">
              <w:rPr>
                <w:sz w:val="22"/>
                <w:szCs w:val="22"/>
                <w:lang w:eastAsia="en-US"/>
              </w:rPr>
              <w:lastRenderedPageBreak/>
              <w:t>Событийного календаря, ед.</w:t>
            </w:r>
          </w:p>
        </w:tc>
        <w:tc>
          <w:tcPr>
            <w:tcW w:w="993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 w:rsidRPr="000E1DC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851" w:type="dxa"/>
          </w:tcPr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701" w:type="dxa"/>
          </w:tcPr>
          <w:p w:rsidR="00146863" w:rsidRDefault="00146863" w:rsidP="00113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146863" w:rsidRPr="000E1DCF" w:rsidRDefault="00146863" w:rsidP="00113FE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146863" w:rsidRPr="00AE6208" w:rsidRDefault="00146863" w:rsidP="00146863">
      <w:pPr>
        <w:spacing w:line="276" w:lineRule="auto"/>
        <w:jc w:val="both"/>
        <w:rPr>
          <w:lang w:eastAsia="en-US"/>
        </w:rPr>
      </w:pPr>
    </w:p>
    <w:p w:rsidR="00146863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 xml:space="preserve">В целях популяризации отдыха на Южном Прибайкалье, администрацией района и поселений совместно с предпринимательским сообществом при поддержке Регионального Агентства по туризму в 2017 году были проведены событийные  и  </w:t>
      </w:r>
      <w:r>
        <w:rPr>
          <w:sz w:val="24"/>
          <w:szCs w:val="24"/>
          <w:lang w:val="en-US"/>
        </w:rPr>
        <w:t>MICE</w:t>
      </w:r>
      <w:r w:rsidRPr="003471F5">
        <w:rPr>
          <w:sz w:val="24"/>
          <w:szCs w:val="24"/>
        </w:rPr>
        <w:t>- мероприятия</w:t>
      </w:r>
      <w:r>
        <w:rPr>
          <w:sz w:val="24"/>
          <w:szCs w:val="24"/>
        </w:rPr>
        <w:t xml:space="preserve"> (мероприятие в рамках </w:t>
      </w:r>
      <w:proofErr w:type="spellStart"/>
      <w:r>
        <w:rPr>
          <w:sz w:val="24"/>
          <w:szCs w:val="24"/>
        </w:rPr>
        <w:t>Зимниада</w:t>
      </w:r>
      <w:proofErr w:type="spellEnd"/>
      <w:r>
        <w:rPr>
          <w:sz w:val="24"/>
          <w:szCs w:val="24"/>
        </w:rPr>
        <w:t xml:space="preserve"> «Ледовый караван» и рекламный пресс тур к нему, День Рождения Байкальского Деда Мороза, Региональный фестиваль омуля на Байкале, Открытие летнего туристского сезона на Южном Прибайкалье, пресс-тур</w:t>
      </w:r>
      <w:proofErr w:type="gramEnd"/>
      <w:r>
        <w:rPr>
          <w:sz w:val="24"/>
          <w:szCs w:val="24"/>
        </w:rPr>
        <w:t xml:space="preserve"> федеральных </w:t>
      </w:r>
      <w:proofErr w:type="spellStart"/>
      <w:r>
        <w:rPr>
          <w:sz w:val="24"/>
          <w:szCs w:val="24"/>
        </w:rPr>
        <w:t>блоггеров</w:t>
      </w:r>
      <w:proofErr w:type="spellEnd"/>
      <w:r>
        <w:rPr>
          <w:sz w:val="24"/>
          <w:szCs w:val="24"/>
        </w:rPr>
        <w:t xml:space="preserve">, нанесение гастрономического бренда Иркутской области «чай с кедровым молочком и ягодный пирог» на Вкусную карту России, съемки «1 канала» - «Байкальские деликатесы», участие в ярмарке в 130 квартале г. Иркутске «Калейдоскоп </w:t>
      </w:r>
      <w:proofErr w:type="spellStart"/>
      <w:r>
        <w:rPr>
          <w:sz w:val="24"/>
          <w:szCs w:val="24"/>
        </w:rPr>
        <w:t>Приангарья</w:t>
      </w:r>
      <w:proofErr w:type="spellEnd"/>
      <w:r>
        <w:rPr>
          <w:sz w:val="24"/>
          <w:szCs w:val="24"/>
        </w:rPr>
        <w:t>», участие в выставке «</w:t>
      </w:r>
      <w:proofErr w:type="spellStart"/>
      <w:r>
        <w:rPr>
          <w:sz w:val="24"/>
          <w:szCs w:val="24"/>
        </w:rPr>
        <w:t>Байкалтур</w:t>
      </w:r>
      <w:proofErr w:type="spellEnd"/>
      <w:r>
        <w:rPr>
          <w:sz w:val="24"/>
          <w:szCs w:val="24"/>
        </w:rPr>
        <w:t>» на двух стендах). Общий охват по событийным мероприятиям составил 6000 человек. Израсходовано средств местного бюджета по муниципальной программе</w:t>
      </w:r>
      <w:r w:rsidRPr="003471F5">
        <w:rPr>
          <w:sz w:val="24"/>
          <w:szCs w:val="24"/>
        </w:rPr>
        <w:t xml:space="preserve"> «Поддержка приоритетных отраслей экономики муниципального образования Слюдянский</w:t>
      </w:r>
      <w:r>
        <w:rPr>
          <w:sz w:val="24"/>
          <w:szCs w:val="24"/>
        </w:rPr>
        <w:t xml:space="preserve"> район на 2014-2020 годы»  49,2 тыс. рублей.</w:t>
      </w:r>
    </w:p>
    <w:p w:rsidR="00146863" w:rsidRPr="003471F5" w:rsidRDefault="00146863" w:rsidP="00146863">
      <w:pPr>
        <w:pStyle w:val="a3"/>
        <w:tabs>
          <w:tab w:val="left" w:pos="7080"/>
        </w:tabs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рамках </w:t>
      </w:r>
      <w:r w:rsidRPr="003471F5">
        <w:rPr>
          <w:sz w:val="24"/>
          <w:szCs w:val="24"/>
        </w:rPr>
        <w:t>заседаний рабочей группы по туризму, был составлен и принят Событийный календарь С</w:t>
      </w:r>
      <w:r>
        <w:rPr>
          <w:sz w:val="24"/>
          <w:szCs w:val="24"/>
        </w:rPr>
        <w:t>людянского района на 2017 год, 33% мероприятий которого (41 из 124</w:t>
      </w:r>
      <w:r w:rsidRPr="003471F5">
        <w:rPr>
          <w:sz w:val="24"/>
          <w:szCs w:val="24"/>
        </w:rPr>
        <w:t>), внесены в Рег</w:t>
      </w:r>
      <w:r>
        <w:rPr>
          <w:sz w:val="24"/>
          <w:szCs w:val="24"/>
        </w:rPr>
        <w:t>иональный Событийный календарь.</w:t>
      </w:r>
      <w:r w:rsidRPr="003471F5">
        <w:rPr>
          <w:sz w:val="24"/>
          <w:szCs w:val="24"/>
        </w:rPr>
        <w:t xml:space="preserve"> </w:t>
      </w:r>
      <w:proofErr w:type="gramEnd"/>
    </w:p>
    <w:p w:rsidR="00146863" w:rsidRDefault="00146863" w:rsidP="001468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показа.</w:t>
      </w:r>
    </w:p>
    <w:p w:rsidR="00146863" w:rsidRDefault="00146863" w:rsidP="00146863">
      <w:pPr>
        <w:ind w:firstLine="567"/>
        <w:jc w:val="both"/>
        <w:rPr>
          <w:sz w:val="24"/>
          <w:szCs w:val="24"/>
        </w:rPr>
      </w:pPr>
      <w:r w:rsidRPr="00DC43D0">
        <w:rPr>
          <w:sz w:val="24"/>
          <w:szCs w:val="24"/>
        </w:rPr>
        <w:t xml:space="preserve">Также в районе функционирует открытая  рабочая группа по туризму при координационном совете в области развития малого, среднего предпринимательства и туризма при мэре муниципального образования Слюдянский район. В 2017 году состоялось 8 заседаний рабочей группы. </w:t>
      </w:r>
    </w:p>
    <w:p w:rsidR="00146863" w:rsidRDefault="00146863" w:rsidP="001468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отчетном периоде продолжали формироваться мероприятия по </w:t>
      </w:r>
      <w:proofErr w:type="spellStart"/>
      <w:r>
        <w:rPr>
          <w:sz w:val="24"/>
          <w:szCs w:val="24"/>
          <w:lang w:eastAsia="en-US"/>
        </w:rPr>
        <w:t>подкластеру</w:t>
      </w:r>
      <w:proofErr w:type="spellEnd"/>
      <w:r>
        <w:rPr>
          <w:sz w:val="24"/>
          <w:szCs w:val="24"/>
          <w:lang w:eastAsia="en-US"/>
        </w:rPr>
        <w:t xml:space="preserve"> «Южное Прибайкалье» туристско-рекреационного кластера Иркутской области,</w:t>
      </w:r>
      <w:r w:rsidRPr="000A19B6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созданного при поддержке Агентства по туризму Иркутской области и Центра кластерного развития Иркутской области. Так,</w:t>
      </w:r>
      <w:r>
        <w:rPr>
          <w:sz w:val="24"/>
          <w:szCs w:val="24"/>
          <w:lang w:eastAsia="en-US"/>
        </w:rPr>
        <w:t xml:space="preserve"> от участников кластера были составлены заявки на финансирование Центром кластерного развития  мероприятий (обучение, продвижение, написание бизнес-планов) в 2018 году. В настоящее время число участников кластера от Слюдянского района </w:t>
      </w:r>
      <w:proofErr w:type="gramStart"/>
      <w:r>
        <w:rPr>
          <w:sz w:val="24"/>
          <w:szCs w:val="24"/>
          <w:lang w:eastAsia="en-US"/>
        </w:rPr>
        <w:t>составляет 8 субъектов не включая</w:t>
      </w:r>
      <w:proofErr w:type="gramEnd"/>
      <w:r>
        <w:rPr>
          <w:sz w:val="24"/>
          <w:szCs w:val="24"/>
          <w:lang w:eastAsia="en-US"/>
        </w:rPr>
        <w:t xml:space="preserve"> администрацию района. </w:t>
      </w:r>
    </w:p>
    <w:p w:rsidR="00146863" w:rsidRPr="00C1601C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Помимо этого на территории Слюдянского района (в г. Байкальске) продолжает функционировать особая экономическая зона</w:t>
      </w:r>
      <w:r w:rsidRPr="00C1601C">
        <w:rPr>
          <w:sz w:val="24"/>
          <w:szCs w:val="24"/>
          <w:lang w:eastAsia="en-US"/>
        </w:rPr>
        <w:t xml:space="preserve"> туристско-рекреационного типа  «Ворота Байкала»</w:t>
      </w:r>
      <w:r>
        <w:rPr>
          <w:sz w:val="24"/>
          <w:szCs w:val="24"/>
          <w:lang w:eastAsia="en-US"/>
        </w:rPr>
        <w:t xml:space="preserve">, общая </w:t>
      </w:r>
      <w:proofErr w:type="gramStart"/>
      <w:r>
        <w:rPr>
          <w:sz w:val="24"/>
          <w:szCs w:val="24"/>
          <w:lang w:eastAsia="en-US"/>
        </w:rPr>
        <w:t>площадь</w:t>
      </w:r>
      <w:proofErr w:type="gramEnd"/>
      <w:r>
        <w:rPr>
          <w:sz w:val="24"/>
          <w:szCs w:val="24"/>
          <w:lang w:eastAsia="en-US"/>
        </w:rPr>
        <w:t xml:space="preserve"> которой 756,97 га.</w:t>
      </w:r>
      <w:r w:rsidRPr="00C1601C">
        <w:rPr>
          <w:sz w:val="24"/>
          <w:szCs w:val="24"/>
          <w:lang w:eastAsia="en-US"/>
        </w:rPr>
        <w:t xml:space="preserve"> В сентябре 2016 года между Минэкономразвития России и Правительством Иркутской области заключено соглашение о передаче полномочий по управлению особой экономической зоной Правительству Иркутской области. Данным соглашением Правительству Иркутской области делегировано осуществление следующих полномочий: </w:t>
      </w:r>
    </w:p>
    <w:p w:rsidR="00146863" w:rsidRPr="00C1601C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 w:rsidRPr="00C1601C">
        <w:rPr>
          <w:sz w:val="24"/>
          <w:szCs w:val="24"/>
          <w:lang w:eastAsia="en-US"/>
        </w:rPr>
        <w:t xml:space="preserve">1) ведение реестра резидентов ОЭЗ; </w:t>
      </w:r>
    </w:p>
    <w:p w:rsidR="00146863" w:rsidRPr="00C1601C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 w:rsidRPr="00C1601C">
        <w:rPr>
          <w:sz w:val="24"/>
          <w:szCs w:val="24"/>
          <w:lang w:eastAsia="en-US"/>
        </w:rPr>
        <w:t xml:space="preserve">2) выдача по требованиям резидентов или по запросам заинтересованных лиц выписки из реестра резидентов ОЭЗ; </w:t>
      </w:r>
    </w:p>
    <w:p w:rsidR="00146863" w:rsidRPr="00C1601C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 w:rsidRPr="00C1601C">
        <w:rPr>
          <w:sz w:val="24"/>
          <w:szCs w:val="24"/>
          <w:lang w:eastAsia="en-US"/>
        </w:rPr>
        <w:t xml:space="preserve">3) осуществление </w:t>
      </w:r>
      <w:proofErr w:type="gramStart"/>
      <w:r w:rsidRPr="00C1601C">
        <w:rPr>
          <w:sz w:val="24"/>
          <w:szCs w:val="24"/>
          <w:lang w:eastAsia="en-US"/>
        </w:rPr>
        <w:t>контроля за</w:t>
      </w:r>
      <w:proofErr w:type="gramEnd"/>
      <w:r w:rsidRPr="00C1601C">
        <w:rPr>
          <w:sz w:val="24"/>
          <w:szCs w:val="24"/>
          <w:lang w:eastAsia="en-US"/>
        </w:rPr>
        <w:t xml:space="preserve"> исполнением резидентом ОЭЗ соглашения об осуществлении деятельности в ОЭЗ; </w:t>
      </w:r>
    </w:p>
    <w:p w:rsidR="00146863" w:rsidRPr="00C1601C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 w:rsidRPr="00C1601C">
        <w:rPr>
          <w:sz w:val="24"/>
          <w:szCs w:val="24"/>
          <w:lang w:eastAsia="en-US"/>
        </w:rPr>
        <w:t xml:space="preserve">4) заключение соглашений об осуществлении деятельности в порядке, установленном Федеральным законом от 22 июля 2005 г. №116-ФЗ «Об особых экономических зонах в Российской Федерации»; </w:t>
      </w:r>
    </w:p>
    <w:p w:rsidR="00146863" w:rsidRPr="00C1601C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 w:rsidRPr="00C1601C">
        <w:rPr>
          <w:sz w:val="24"/>
          <w:szCs w:val="24"/>
          <w:lang w:eastAsia="en-US"/>
        </w:rPr>
        <w:t xml:space="preserve">5) выполнение функций государственного заказчика по подготовке документации по планировке территории в границах ОЭЗ и созданию инженерной, транспортной, социальной, инновационной и иных инфраструктур этой зоны за счет средств </w:t>
      </w:r>
      <w:r w:rsidRPr="00C1601C">
        <w:rPr>
          <w:sz w:val="24"/>
          <w:szCs w:val="24"/>
          <w:lang w:eastAsia="en-US"/>
        </w:rPr>
        <w:lastRenderedPageBreak/>
        <w:t>федерального бюджета, бюджета субъекта Российской Федерации, местного бюджета, если иное не установлено законодательством Российской Федерации;</w:t>
      </w:r>
    </w:p>
    <w:p w:rsidR="00146863" w:rsidRPr="00C1601C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 w:rsidRPr="00C1601C">
        <w:rPr>
          <w:sz w:val="24"/>
          <w:szCs w:val="24"/>
          <w:lang w:eastAsia="en-US"/>
        </w:rPr>
        <w:t>6) обеспечение проведения экспертизы проектной документации и результатов инженерных изысканий.</w:t>
      </w:r>
    </w:p>
    <w:p w:rsidR="00146863" w:rsidRPr="00844A24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 w:rsidRPr="00844A24">
        <w:rPr>
          <w:sz w:val="24"/>
          <w:szCs w:val="24"/>
          <w:lang w:eastAsia="en-US"/>
        </w:rPr>
        <w:t xml:space="preserve">По состоянию на 01.01.2018 года в  особой экономической зоне зарегистрировано 6 резидентов, </w:t>
      </w:r>
      <w:r w:rsidRPr="00844A24">
        <w:rPr>
          <w:sz w:val="24"/>
          <w:szCs w:val="24"/>
        </w:rPr>
        <w:t xml:space="preserve">с планируемым объемом инвестиций свыше 2 </w:t>
      </w:r>
      <w:proofErr w:type="gramStart"/>
      <w:r w:rsidRPr="00844A24">
        <w:rPr>
          <w:sz w:val="24"/>
          <w:szCs w:val="24"/>
        </w:rPr>
        <w:t>млрд</w:t>
      </w:r>
      <w:proofErr w:type="gramEnd"/>
      <w:r w:rsidRPr="00844A24">
        <w:rPr>
          <w:sz w:val="24"/>
          <w:szCs w:val="24"/>
        </w:rPr>
        <w:t xml:space="preserve"> руб., в т. ч.:</w:t>
      </w:r>
    </w:p>
    <w:p w:rsidR="00146863" w:rsidRPr="006D5B92" w:rsidRDefault="00146863" w:rsidP="00146863">
      <w:pPr>
        <w:suppressAutoHyphens/>
        <w:ind w:firstLine="709"/>
        <w:jc w:val="both"/>
        <w:rPr>
          <w:sz w:val="24"/>
          <w:szCs w:val="24"/>
        </w:rPr>
      </w:pPr>
      <w:r w:rsidRPr="00844A24">
        <w:rPr>
          <w:sz w:val="24"/>
          <w:szCs w:val="24"/>
        </w:rPr>
        <w:t>– ООО «БГК</w:t>
      </w:r>
      <w:r w:rsidRPr="006D5B92">
        <w:rPr>
          <w:sz w:val="24"/>
          <w:szCs w:val="24"/>
        </w:rPr>
        <w:t xml:space="preserve"> Гора Соболиная» – 1 393 </w:t>
      </w:r>
      <w:proofErr w:type="gramStart"/>
      <w:r w:rsidRPr="006D5B92">
        <w:rPr>
          <w:sz w:val="24"/>
          <w:szCs w:val="24"/>
        </w:rPr>
        <w:t>млн</w:t>
      </w:r>
      <w:proofErr w:type="gramEnd"/>
      <w:r w:rsidRPr="006D5B92">
        <w:rPr>
          <w:sz w:val="24"/>
          <w:szCs w:val="24"/>
        </w:rPr>
        <w:t xml:space="preserve"> руб.;</w:t>
      </w:r>
    </w:p>
    <w:p w:rsidR="00146863" w:rsidRPr="006D5B92" w:rsidRDefault="00146863" w:rsidP="00146863">
      <w:pPr>
        <w:suppressAutoHyphens/>
        <w:ind w:firstLine="709"/>
        <w:jc w:val="both"/>
        <w:rPr>
          <w:sz w:val="24"/>
          <w:szCs w:val="24"/>
        </w:rPr>
      </w:pPr>
      <w:r w:rsidRPr="006D5B92">
        <w:rPr>
          <w:sz w:val="24"/>
          <w:szCs w:val="24"/>
        </w:rPr>
        <w:t xml:space="preserve">– ООО «Илим Байкал» – 130,5 </w:t>
      </w:r>
      <w:proofErr w:type="gramStart"/>
      <w:r w:rsidRPr="006D5B92">
        <w:rPr>
          <w:sz w:val="24"/>
          <w:szCs w:val="24"/>
        </w:rPr>
        <w:t>млн</w:t>
      </w:r>
      <w:proofErr w:type="gramEnd"/>
      <w:r w:rsidRPr="006D5B92">
        <w:rPr>
          <w:sz w:val="24"/>
          <w:szCs w:val="24"/>
        </w:rPr>
        <w:t xml:space="preserve"> руб.;</w:t>
      </w:r>
    </w:p>
    <w:p w:rsidR="00146863" w:rsidRPr="006D5B92" w:rsidRDefault="00146863" w:rsidP="00146863">
      <w:pPr>
        <w:suppressAutoHyphens/>
        <w:ind w:firstLine="709"/>
        <w:jc w:val="both"/>
        <w:rPr>
          <w:sz w:val="24"/>
          <w:szCs w:val="24"/>
        </w:rPr>
      </w:pPr>
      <w:r w:rsidRPr="006D5B92">
        <w:rPr>
          <w:sz w:val="24"/>
          <w:szCs w:val="24"/>
        </w:rPr>
        <w:t xml:space="preserve">– ООО «Байкал-Аква» – 156,98 </w:t>
      </w:r>
      <w:proofErr w:type="gramStart"/>
      <w:r w:rsidRPr="006D5B92">
        <w:rPr>
          <w:sz w:val="24"/>
          <w:szCs w:val="24"/>
        </w:rPr>
        <w:t>млн</w:t>
      </w:r>
      <w:proofErr w:type="gramEnd"/>
      <w:r w:rsidRPr="006D5B92">
        <w:rPr>
          <w:sz w:val="24"/>
          <w:szCs w:val="24"/>
        </w:rPr>
        <w:t xml:space="preserve"> руб.;</w:t>
      </w:r>
    </w:p>
    <w:p w:rsidR="00146863" w:rsidRPr="006D5B92" w:rsidRDefault="00146863" w:rsidP="00146863">
      <w:pPr>
        <w:suppressAutoHyphens/>
        <w:ind w:firstLine="709"/>
        <w:jc w:val="both"/>
        <w:rPr>
          <w:sz w:val="24"/>
          <w:szCs w:val="24"/>
        </w:rPr>
      </w:pPr>
      <w:r w:rsidRPr="006D5B92">
        <w:rPr>
          <w:sz w:val="24"/>
          <w:szCs w:val="24"/>
        </w:rPr>
        <w:t>– ООО «</w:t>
      </w:r>
      <w:proofErr w:type="spellStart"/>
      <w:r w:rsidRPr="006D5B92">
        <w:rPr>
          <w:sz w:val="24"/>
          <w:szCs w:val="24"/>
        </w:rPr>
        <w:t>Гринвальд</w:t>
      </w:r>
      <w:proofErr w:type="spellEnd"/>
      <w:r w:rsidRPr="006D5B92">
        <w:rPr>
          <w:sz w:val="24"/>
          <w:szCs w:val="24"/>
        </w:rPr>
        <w:t xml:space="preserve"> Байкал» – 206,6 </w:t>
      </w:r>
      <w:proofErr w:type="gramStart"/>
      <w:r w:rsidRPr="006D5B92">
        <w:rPr>
          <w:sz w:val="24"/>
          <w:szCs w:val="24"/>
        </w:rPr>
        <w:t>млн</w:t>
      </w:r>
      <w:proofErr w:type="gramEnd"/>
      <w:r w:rsidRPr="006D5B92">
        <w:rPr>
          <w:sz w:val="24"/>
          <w:szCs w:val="24"/>
        </w:rPr>
        <w:t xml:space="preserve"> руб.;</w:t>
      </w:r>
    </w:p>
    <w:p w:rsidR="00146863" w:rsidRPr="006D5B92" w:rsidRDefault="00146863" w:rsidP="00146863">
      <w:pPr>
        <w:suppressAutoHyphens/>
        <w:ind w:firstLine="709"/>
        <w:jc w:val="both"/>
        <w:rPr>
          <w:sz w:val="24"/>
          <w:szCs w:val="24"/>
        </w:rPr>
      </w:pPr>
      <w:r w:rsidRPr="006D5B92">
        <w:rPr>
          <w:sz w:val="24"/>
          <w:szCs w:val="24"/>
        </w:rPr>
        <w:t xml:space="preserve">– ООО «УЮТ+» – 98,5 </w:t>
      </w:r>
      <w:proofErr w:type="gramStart"/>
      <w:r w:rsidRPr="006D5B92">
        <w:rPr>
          <w:sz w:val="24"/>
          <w:szCs w:val="24"/>
        </w:rPr>
        <w:t>млн</w:t>
      </w:r>
      <w:proofErr w:type="gramEnd"/>
      <w:r w:rsidRPr="006D5B92">
        <w:rPr>
          <w:sz w:val="24"/>
          <w:szCs w:val="24"/>
        </w:rPr>
        <w:t xml:space="preserve"> руб.;</w:t>
      </w:r>
    </w:p>
    <w:p w:rsidR="00146863" w:rsidRPr="006D5B92" w:rsidRDefault="00146863" w:rsidP="00146863">
      <w:pPr>
        <w:suppressAutoHyphens/>
        <w:ind w:firstLine="709"/>
        <w:jc w:val="both"/>
        <w:rPr>
          <w:sz w:val="24"/>
          <w:szCs w:val="24"/>
        </w:rPr>
      </w:pPr>
      <w:r w:rsidRPr="006D5B92">
        <w:rPr>
          <w:sz w:val="24"/>
          <w:szCs w:val="24"/>
        </w:rPr>
        <w:t xml:space="preserve">– ООО «Байкальск </w:t>
      </w:r>
      <w:proofErr w:type="spellStart"/>
      <w:r w:rsidRPr="006D5B92">
        <w:rPr>
          <w:sz w:val="24"/>
          <w:szCs w:val="24"/>
        </w:rPr>
        <w:t>Девелопмент</w:t>
      </w:r>
      <w:proofErr w:type="spellEnd"/>
      <w:r w:rsidRPr="006D5B92">
        <w:rPr>
          <w:sz w:val="24"/>
          <w:szCs w:val="24"/>
        </w:rPr>
        <w:t xml:space="preserve">» – 213,32 </w:t>
      </w:r>
      <w:proofErr w:type="gramStart"/>
      <w:r w:rsidRPr="006D5B92">
        <w:rPr>
          <w:sz w:val="24"/>
          <w:szCs w:val="24"/>
        </w:rPr>
        <w:t>млн</w:t>
      </w:r>
      <w:proofErr w:type="gramEnd"/>
      <w:r w:rsidRPr="006D5B92">
        <w:rPr>
          <w:sz w:val="24"/>
          <w:szCs w:val="24"/>
        </w:rPr>
        <w:t xml:space="preserve"> руб. </w:t>
      </w:r>
    </w:p>
    <w:p w:rsidR="00146863" w:rsidRPr="00266C5F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 w:rsidRPr="00266C5F">
        <w:rPr>
          <w:sz w:val="24"/>
          <w:szCs w:val="24"/>
          <w:lang w:eastAsia="en-US"/>
        </w:rPr>
        <w:t>Резидентом ООО БГК «Гора Со</w:t>
      </w:r>
      <w:r>
        <w:rPr>
          <w:sz w:val="24"/>
          <w:szCs w:val="24"/>
          <w:lang w:eastAsia="en-US"/>
        </w:rPr>
        <w:t xml:space="preserve">болиная» в декабре 2017 года проводилась работа по формированию </w:t>
      </w:r>
      <w:r w:rsidRPr="00266C5F">
        <w:rPr>
          <w:sz w:val="24"/>
          <w:szCs w:val="24"/>
          <w:lang w:eastAsia="en-US"/>
        </w:rPr>
        <w:t>нов</w:t>
      </w:r>
      <w:r>
        <w:rPr>
          <w:sz w:val="24"/>
          <w:szCs w:val="24"/>
          <w:lang w:eastAsia="en-US"/>
        </w:rPr>
        <w:t>ого</w:t>
      </w:r>
      <w:r w:rsidRPr="00266C5F">
        <w:rPr>
          <w:sz w:val="24"/>
          <w:szCs w:val="24"/>
          <w:lang w:eastAsia="en-US"/>
        </w:rPr>
        <w:t xml:space="preserve"> план инвестиций</w:t>
      </w:r>
      <w:r>
        <w:rPr>
          <w:sz w:val="24"/>
          <w:szCs w:val="24"/>
          <w:lang w:eastAsia="en-US"/>
        </w:rPr>
        <w:t xml:space="preserve"> на период 2018-2023 года</w:t>
      </w:r>
      <w:proofErr w:type="gramStart"/>
      <w:r w:rsidRPr="00266C5F"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 xml:space="preserve">о состоянию на 01.01.2018 года инвестиционный план еще не был утвержден. </w:t>
      </w:r>
      <w:r w:rsidRPr="00266C5F">
        <w:rPr>
          <w:sz w:val="24"/>
          <w:szCs w:val="24"/>
          <w:lang w:eastAsia="en-US"/>
        </w:rPr>
        <w:t xml:space="preserve">В настоящее время на базе действующего горнолыжного курорта эксплуатируются 4 объекта: бар, кафе «Высота 900», гостиница «Гранд Байкал», веревочный парк развлечений. Среднегодовая загрузка номерного фонда туристических объектов составляет 30%. В связи с неготовностью объектов инженерной инфраструктуры ОЭЗ, </w:t>
      </w:r>
      <w:proofErr w:type="gramStart"/>
      <w:r w:rsidRPr="00266C5F">
        <w:rPr>
          <w:sz w:val="24"/>
          <w:szCs w:val="24"/>
          <w:lang w:eastAsia="en-US"/>
        </w:rPr>
        <w:t>вынужден</w:t>
      </w:r>
      <w:proofErr w:type="gramEnd"/>
      <w:r w:rsidRPr="00266C5F">
        <w:rPr>
          <w:sz w:val="24"/>
          <w:szCs w:val="24"/>
          <w:lang w:eastAsia="en-US"/>
        </w:rPr>
        <w:t xml:space="preserve"> подключить построенные объекты к существующим сетям г. Байкальска, нести расходы за технологическое присоединение на общих основаниях. Мощности существующих городских сетей не обеспечивают необходимую нагрузку для объектов резидента, что затрудняет реализацию проекта. </w:t>
      </w:r>
    </w:p>
    <w:p w:rsidR="00146863" w:rsidRPr="00266C5F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 w:rsidRPr="00266C5F">
        <w:rPr>
          <w:sz w:val="24"/>
          <w:szCs w:val="24"/>
          <w:lang w:eastAsia="en-US"/>
        </w:rPr>
        <w:t>ООО «Уют+» приступил к строительству объекта в2017 году.</w:t>
      </w:r>
    </w:p>
    <w:p w:rsidR="00146863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 w:rsidRPr="0050292C">
        <w:rPr>
          <w:sz w:val="24"/>
          <w:szCs w:val="24"/>
          <w:lang w:eastAsia="en-US"/>
        </w:rPr>
        <w:t>ООО «Илим Байкал» не приступал к строительству в связи с неготовностью объектов инженерной инфраструктуры ОЭЗ. В период с 9 по 22 октября 2017 г. в отношении резидент</w:t>
      </w:r>
      <w:proofErr w:type="gramStart"/>
      <w:r w:rsidRPr="0050292C">
        <w:rPr>
          <w:sz w:val="24"/>
          <w:szCs w:val="24"/>
          <w:lang w:eastAsia="en-US"/>
        </w:rPr>
        <w:t>а ООО</w:t>
      </w:r>
      <w:proofErr w:type="gramEnd"/>
      <w:r w:rsidRPr="0050292C">
        <w:rPr>
          <w:sz w:val="24"/>
          <w:szCs w:val="24"/>
          <w:lang w:eastAsia="en-US"/>
        </w:rPr>
        <w:t xml:space="preserve"> «Илим Байкал» проведена плановая проверка исполнения условий соглашения об осуществлении туристско-рекреационной деятельности в ОЭЗ. По итогам проверки резиденту направлено уведомление об устранении выявленных нарушений в срок до 1 марта 2018 года. </w:t>
      </w:r>
    </w:p>
    <w:p w:rsidR="00146863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 w:rsidRPr="0050292C">
        <w:rPr>
          <w:sz w:val="24"/>
          <w:szCs w:val="24"/>
          <w:lang w:eastAsia="en-US"/>
        </w:rPr>
        <w:t>ООО «</w:t>
      </w:r>
      <w:proofErr w:type="spellStart"/>
      <w:r w:rsidRPr="0050292C">
        <w:rPr>
          <w:sz w:val="24"/>
          <w:szCs w:val="24"/>
          <w:lang w:eastAsia="en-US"/>
        </w:rPr>
        <w:t>Гринвальд</w:t>
      </w:r>
      <w:proofErr w:type="spellEnd"/>
      <w:r w:rsidRPr="0050292C">
        <w:rPr>
          <w:sz w:val="24"/>
          <w:szCs w:val="24"/>
          <w:lang w:eastAsia="en-US"/>
        </w:rPr>
        <w:t xml:space="preserve"> Байкал» </w:t>
      </w:r>
      <w:proofErr w:type="gramStart"/>
      <w:r w:rsidRPr="0050292C">
        <w:rPr>
          <w:sz w:val="24"/>
          <w:szCs w:val="24"/>
          <w:lang w:eastAsia="en-US"/>
        </w:rPr>
        <w:t>и ООО</w:t>
      </w:r>
      <w:proofErr w:type="gramEnd"/>
      <w:r w:rsidRPr="0050292C">
        <w:rPr>
          <w:sz w:val="24"/>
          <w:szCs w:val="24"/>
          <w:lang w:eastAsia="en-US"/>
        </w:rPr>
        <w:t xml:space="preserve"> «Байкал-Аква» в декабре 2017 года уточнили бизнес-планы по строительству объектов, также ведется работа по согласованию подписанию дополнительных соглашений к соглашениям об осуществлении деятельности в ОЭЗ.</w:t>
      </w:r>
    </w:p>
    <w:p w:rsidR="00146863" w:rsidRPr="00266C5F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 w:rsidRPr="00266C5F">
        <w:rPr>
          <w:sz w:val="24"/>
          <w:szCs w:val="24"/>
          <w:lang w:eastAsia="en-US"/>
        </w:rPr>
        <w:t>Для реализации проекта строительство и организация деятельности гостиничного комплекса «Горный двор» в особой экономической зоне,  учредителям</w:t>
      </w:r>
      <w:proofErr w:type="gramStart"/>
      <w:r w:rsidRPr="00266C5F">
        <w:rPr>
          <w:sz w:val="24"/>
          <w:szCs w:val="24"/>
          <w:lang w:eastAsia="en-US"/>
        </w:rPr>
        <w:t>и ООО</w:t>
      </w:r>
      <w:proofErr w:type="gramEnd"/>
      <w:r w:rsidRPr="00266C5F">
        <w:rPr>
          <w:sz w:val="24"/>
          <w:szCs w:val="24"/>
          <w:lang w:eastAsia="en-US"/>
        </w:rPr>
        <w:t xml:space="preserve"> «Соболь» и ООО «Виста»  создан оператор ООО «Байкальск </w:t>
      </w:r>
      <w:proofErr w:type="spellStart"/>
      <w:r w:rsidRPr="00266C5F">
        <w:rPr>
          <w:sz w:val="24"/>
          <w:szCs w:val="24"/>
          <w:lang w:eastAsia="en-US"/>
        </w:rPr>
        <w:t>Девелопмент</w:t>
      </w:r>
      <w:proofErr w:type="spellEnd"/>
      <w:r w:rsidRPr="00266C5F">
        <w:rPr>
          <w:sz w:val="24"/>
          <w:szCs w:val="24"/>
          <w:lang w:eastAsia="en-US"/>
        </w:rPr>
        <w:t>». В</w:t>
      </w:r>
      <w:r>
        <w:rPr>
          <w:sz w:val="24"/>
          <w:szCs w:val="24"/>
          <w:lang w:eastAsia="en-US"/>
        </w:rPr>
        <w:t xml:space="preserve"> 2017 году проводилась работа по разработке</w:t>
      </w:r>
      <w:r w:rsidRPr="00266C5F">
        <w:rPr>
          <w:sz w:val="24"/>
          <w:szCs w:val="24"/>
          <w:lang w:eastAsia="en-US"/>
        </w:rPr>
        <w:t xml:space="preserve"> бизнес – план</w:t>
      </w:r>
      <w:r>
        <w:rPr>
          <w:sz w:val="24"/>
          <w:szCs w:val="24"/>
          <w:lang w:eastAsia="en-US"/>
        </w:rPr>
        <w:t>а</w:t>
      </w:r>
      <w:r w:rsidRPr="00266C5F">
        <w:rPr>
          <w:sz w:val="24"/>
          <w:szCs w:val="24"/>
          <w:lang w:eastAsia="en-US"/>
        </w:rPr>
        <w:t xml:space="preserve"> проекта.</w:t>
      </w:r>
    </w:p>
    <w:p w:rsidR="00146863" w:rsidRPr="00266C5F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 w:rsidRPr="00266C5F">
        <w:rPr>
          <w:sz w:val="24"/>
          <w:szCs w:val="24"/>
          <w:lang w:eastAsia="en-US"/>
        </w:rPr>
        <w:t xml:space="preserve">Также подана заявка и бизнес-план от ООО «Вектор Байкальск» на включение в состав резидентов ОЭЗ. </w:t>
      </w:r>
    </w:p>
    <w:p w:rsidR="00146863" w:rsidRPr="00E56B9B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 w:rsidRPr="00266C5F">
        <w:rPr>
          <w:sz w:val="24"/>
          <w:szCs w:val="24"/>
          <w:lang w:eastAsia="en-US"/>
        </w:rPr>
        <w:t>За двухлетний период (2016-2017 годы) завершены работы по проектированию внутриплощадочных объектов инженерной</w:t>
      </w:r>
      <w:r w:rsidRPr="00E56B9B">
        <w:rPr>
          <w:sz w:val="24"/>
          <w:szCs w:val="24"/>
          <w:lang w:eastAsia="en-US"/>
        </w:rPr>
        <w:t xml:space="preserve"> инфраструктуры ОЭЗ ТРТ, выполненные по заказу </w:t>
      </w:r>
      <w:r w:rsidRPr="0050292C">
        <w:rPr>
          <w:sz w:val="24"/>
          <w:szCs w:val="24"/>
          <w:lang w:eastAsia="en-US"/>
        </w:rPr>
        <w:t>по заказу филиала АО «Особые экономические зоны» в Иркутской области</w:t>
      </w:r>
      <w:r w:rsidRPr="00E56B9B">
        <w:rPr>
          <w:sz w:val="24"/>
          <w:szCs w:val="24"/>
          <w:lang w:eastAsia="en-US"/>
        </w:rPr>
        <w:t>». Получены положительные заключения государственной экспертизы проектной документации и государственной экологической экспертизы.</w:t>
      </w:r>
    </w:p>
    <w:p w:rsidR="00146863" w:rsidRPr="00E56B9B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 w:rsidRPr="00E56B9B">
        <w:rPr>
          <w:sz w:val="24"/>
          <w:szCs w:val="24"/>
          <w:lang w:eastAsia="en-US"/>
        </w:rPr>
        <w:t xml:space="preserve">Также завершена разработка проектной документации объектов инженерной инфраструктуры для обустройства ОЭЗ (инженерные сети на прилегающей территории и улично-дорожная сеть), выполненная по заказу ОГКУ УКС Иркутской области. Получены положительные заключения государственной экспертизы проектной документации. </w:t>
      </w:r>
    </w:p>
    <w:p w:rsidR="00146863" w:rsidRPr="00E56B9B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 w:rsidRPr="00E56B9B">
        <w:rPr>
          <w:sz w:val="24"/>
          <w:szCs w:val="24"/>
          <w:lang w:eastAsia="en-US"/>
        </w:rPr>
        <w:t>В настоящее время Правительством Иркутской области завершена корректировка проекта планировки территории особой экономической зоны туристско-рекреационного типа, созданной на территории Слюдянского района Иркутской области (далее – ППТ).</w:t>
      </w:r>
    </w:p>
    <w:p w:rsidR="00146863" w:rsidRDefault="00146863" w:rsidP="00146863">
      <w:pPr>
        <w:ind w:firstLine="567"/>
        <w:jc w:val="both"/>
        <w:rPr>
          <w:sz w:val="24"/>
          <w:szCs w:val="24"/>
          <w:lang w:eastAsia="en-US"/>
        </w:rPr>
      </w:pPr>
      <w:r w:rsidRPr="00E56B9B">
        <w:rPr>
          <w:sz w:val="24"/>
          <w:szCs w:val="24"/>
          <w:lang w:eastAsia="en-US"/>
        </w:rPr>
        <w:lastRenderedPageBreak/>
        <w:t xml:space="preserve">В начале января 2018 года ППТ проектная документация по строительству объектов инфраструктуры ОЭЗ будет направлена в Управление </w:t>
      </w:r>
      <w:proofErr w:type="spellStart"/>
      <w:r w:rsidRPr="00E56B9B">
        <w:rPr>
          <w:sz w:val="24"/>
          <w:szCs w:val="24"/>
          <w:lang w:eastAsia="en-US"/>
        </w:rPr>
        <w:t>Росприроднадзора</w:t>
      </w:r>
      <w:proofErr w:type="spellEnd"/>
      <w:r w:rsidRPr="00E56B9B">
        <w:rPr>
          <w:sz w:val="24"/>
          <w:szCs w:val="24"/>
          <w:lang w:eastAsia="en-US"/>
        </w:rPr>
        <w:t xml:space="preserve"> по Иркутской области (далее – </w:t>
      </w:r>
      <w:proofErr w:type="spellStart"/>
      <w:r w:rsidRPr="00E56B9B">
        <w:rPr>
          <w:sz w:val="24"/>
          <w:szCs w:val="24"/>
          <w:lang w:eastAsia="en-US"/>
        </w:rPr>
        <w:t>Росприроднадзор</w:t>
      </w:r>
      <w:proofErr w:type="spellEnd"/>
      <w:r w:rsidRPr="00E56B9B">
        <w:rPr>
          <w:sz w:val="24"/>
          <w:szCs w:val="24"/>
          <w:lang w:eastAsia="en-US"/>
        </w:rPr>
        <w:t>) для получения положительного заключения государственной экологической экспертизы. После прохождения экологической экспертизы, планируется приступить к строительству инфраструктуры ОЭЗ (ориентировочно со 2 квартала 2018 года).</w:t>
      </w:r>
    </w:p>
    <w:p w:rsidR="00146863" w:rsidRDefault="00146863" w:rsidP="00146863">
      <w:pPr>
        <w:ind w:firstLine="567"/>
        <w:jc w:val="both"/>
        <w:rPr>
          <w:sz w:val="24"/>
          <w:szCs w:val="24"/>
          <w:highlight w:val="yellow"/>
          <w:lang w:eastAsia="en-US"/>
        </w:rPr>
      </w:pPr>
      <w:r w:rsidRPr="0050292C">
        <w:rPr>
          <w:sz w:val="24"/>
          <w:szCs w:val="24"/>
          <w:lang w:eastAsia="en-US"/>
        </w:rPr>
        <w:t xml:space="preserve">В декабре 2017 года до управляющей компании АО «ОЭЗ «Иркутск» доведено дополнительное финансирование из бюджета Иркутской области в объеме 124,4 </w:t>
      </w:r>
      <w:proofErr w:type="gramStart"/>
      <w:r w:rsidRPr="0050292C">
        <w:rPr>
          <w:sz w:val="24"/>
          <w:szCs w:val="24"/>
          <w:lang w:eastAsia="en-US"/>
        </w:rPr>
        <w:t>млн</w:t>
      </w:r>
      <w:proofErr w:type="gramEnd"/>
      <w:r w:rsidRPr="0050292C">
        <w:rPr>
          <w:sz w:val="24"/>
          <w:szCs w:val="24"/>
          <w:lang w:eastAsia="en-US"/>
        </w:rPr>
        <w:t xml:space="preserve"> руб. для строительства объектов инфраструктуры на территории ОЭЗ. В настоящее время управляющей компанией проводятся конкурсные процедуры по определению подрядчика для осуществления строительно-монтажных работ.</w:t>
      </w:r>
      <w:r>
        <w:rPr>
          <w:sz w:val="24"/>
          <w:szCs w:val="24"/>
          <w:lang w:eastAsia="en-US"/>
        </w:rPr>
        <w:t xml:space="preserve"> </w:t>
      </w:r>
    </w:p>
    <w:p w:rsidR="00146863" w:rsidRDefault="00146863" w:rsidP="0014686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2017 году была начата совместная работа с Министерством экономического развития Иркутской области по </w:t>
      </w:r>
      <w:r w:rsidRPr="00FD6A7A">
        <w:rPr>
          <w:sz w:val="24"/>
          <w:szCs w:val="24"/>
        </w:rPr>
        <w:t>разработке приоритетных региональных проектов развития территорий и проекта «Байкал-великое озеро великой страны</w:t>
      </w:r>
      <w:r>
        <w:rPr>
          <w:sz w:val="24"/>
          <w:szCs w:val="24"/>
        </w:rPr>
        <w:t>»,</w:t>
      </w:r>
      <w:r w:rsidRPr="00FD6A7A">
        <w:t xml:space="preserve"> </w:t>
      </w:r>
      <w:r>
        <w:rPr>
          <w:sz w:val="24"/>
          <w:szCs w:val="24"/>
        </w:rPr>
        <w:t>ос</w:t>
      </w:r>
      <w:r w:rsidRPr="00FD6A7A">
        <w:rPr>
          <w:sz w:val="24"/>
          <w:szCs w:val="24"/>
        </w:rPr>
        <w:t>новной целью</w:t>
      </w:r>
      <w:r>
        <w:rPr>
          <w:sz w:val="24"/>
          <w:szCs w:val="24"/>
        </w:rPr>
        <w:t xml:space="preserve"> которого </w:t>
      </w:r>
      <w:r w:rsidRPr="00FD6A7A">
        <w:rPr>
          <w:sz w:val="24"/>
          <w:szCs w:val="24"/>
        </w:rPr>
        <w:t xml:space="preserve">является сохранение уникальной экосистемы озера Байкал, создание возможностей и условий для экономического развития </w:t>
      </w:r>
      <w:r>
        <w:rPr>
          <w:sz w:val="24"/>
          <w:szCs w:val="24"/>
        </w:rPr>
        <w:t>Прибайкальских территорий</w:t>
      </w:r>
      <w:r w:rsidRPr="00FD6A7A">
        <w:rPr>
          <w:sz w:val="24"/>
          <w:szCs w:val="24"/>
        </w:rPr>
        <w:t xml:space="preserve"> с учетом минимизации негативного воздействия на окружающую среду в рамках реализации скоординированной гос</w:t>
      </w:r>
      <w:r>
        <w:rPr>
          <w:sz w:val="24"/>
          <w:szCs w:val="24"/>
        </w:rPr>
        <w:t>ударственной политики.</w:t>
      </w:r>
      <w:proofErr w:type="gramEnd"/>
    </w:p>
    <w:p w:rsidR="00146863" w:rsidRDefault="00146863" w:rsidP="001468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содержания приоритетной программы разработаны конкретные цели:</w:t>
      </w:r>
    </w:p>
    <w:p w:rsidR="00146863" w:rsidRPr="001D05B9" w:rsidRDefault="00146863" w:rsidP="00146863">
      <w:pPr>
        <w:ind w:firstLine="567"/>
        <w:jc w:val="both"/>
        <w:rPr>
          <w:sz w:val="24"/>
          <w:szCs w:val="24"/>
        </w:rPr>
      </w:pPr>
      <w:r w:rsidRPr="001D05B9">
        <w:rPr>
          <w:sz w:val="24"/>
          <w:szCs w:val="24"/>
        </w:rPr>
        <w:t>1. Обеспечить полную очистку сточных вод в ЦЭЗ БПТ в соответствии с нормативами к 2025 году.</w:t>
      </w:r>
    </w:p>
    <w:p w:rsidR="00146863" w:rsidRPr="001D05B9" w:rsidRDefault="00146863" w:rsidP="00146863">
      <w:pPr>
        <w:ind w:firstLine="567"/>
        <w:jc w:val="both"/>
        <w:rPr>
          <w:sz w:val="24"/>
          <w:szCs w:val="24"/>
        </w:rPr>
      </w:pPr>
      <w:r w:rsidRPr="001D05B9">
        <w:rPr>
          <w:sz w:val="24"/>
          <w:szCs w:val="24"/>
        </w:rPr>
        <w:t>2. Полностью ликвидировать несанкционированные свалки в ЦЭЗ БПТ и сформировать эффективную систему управления отходами</w:t>
      </w:r>
    </w:p>
    <w:p w:rsidR="00146863" w:rsidRPr="001D05B9" w:rsidRDefault="00146863" w:rsidP="00146863">
      <w:pPr>
        <w:ind w:firstLine="567"/>
        <w:jc w:val="both"/>
        <w:rPr>
          <w:sz w:val="24"/>
          <w:szCs w:val="24"/>
        </w:rPr>
      </w:pPr>
      <w:r w:rsidRPr="001D05B9">
        <w:rPr>
          <w:sz w:val="24"/>
          <w:szCs w:val="24"/>
        </w:rPr>
        <w:t>3. Существенно повысить объем налоговых поступлений по видам экономической деятельности, связанным с развитием туризма и сопутствующих секторов к базовому уровню, до 7 млрд. руб. к 2019 году, а к 2025 году – до 30 млрд. руб.</w:t>
      </w:r>
    </w:p>
    <w:p w:rsidR="00146863" w:rsidRDefault="00146863" w:rsidP="00146863">
      <w:pPr>
        <w:ind w:firstLine="567"/>
        <w:jc w:val="both"/>
        <w:rPr>
          <w:sz w:val="24"/>
          <w:szCs w:val="24"/>
        </w:rPr>
      </w:pPr>
      <w:r w:rsidRPr="001D05B9">
        <w:rPr>
          <w:sz w:val="24"/>
          <w:szCs w:val="24"/>
        </w:rPr>
        <w:t>4. Создать 22 тысячи новых рабочих мест на БПТ в сфере туризма, «зеленой экономики» и некоммерческом секторе к 2025 году.</w:t>
      </w:r>
    </w:p>
    <w:p w:rsidR="00146863" w:rsidRDefault="00146863" w:rsidP="001468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Слюдянский район вошел в проект «</w:t>
      </w:r>
      <w:proofErr w:type="gramStart"/>
      <w:r>
        <w:rPr>
          <w:sz w:val="24"/>
          <w:szCs w:val="24"/>
        </w:rPr>
        <w:t>Байкал-великое</w:t>
      </w:r>
      <w:proofErr w:type="gramEnd"/>
      <w:r>
        <w:rPr>
          <w:sz w:val="24"/>
          <w:szCs w:val="24"/>
        </w:rPr>
        <w:t xml:space="preserve"> озеро великой страны» с тремя проектами, разбитыми по локациям: </w:t>
      </w:r>
      <w:proofErr w:type="spellStart"/>
      <w:r>
        <w:rPr>
          <w:sz w:val="24"/>
          <w:szCs w:val="24"/>
        </w:rPr>
        <w:t>Слюдянка</w:t>
      </w:r>
      <w:proofErr w:type="spellEnd"/>
      <w:r>
        <w:rPr>
          <w:sz w:val="24"/>
          <w:szCs w:val="24"/>
        </w:rPr>
        <w:t xml:space="preserve">-Култук, Байкальск, п. Байкал (порт)- Листвянка. В рамках </w:t>
      </w:r>
      <w:proofErr w:type="spellStart"/>
      <w:r>
        <w:rPr>
          <w:sz w:val="24"/>
          <w:szCs w:val="24"/>
        </w:rPr>
        <w:t>подпроектов</w:t>
      </w:r>
      <w:proofErr w:type="spellEnd"/>
      <w:r>
        <w:rPr>
          <w:sz w:val="24"/>
          <w:szCs w:val="24"/>
        </w:rPr>
        <w:t xml:space="preserve"> совместно с региональными отраслевыми министерствами формируются мероприятия, по каждому из которых разрабатываются предложения и паспорта для вхождения в федеральные и региональные целевые программы по строительству инфраструктурных объектов, а также частных инвестиционных проектов.</w:t>
      </w:r>
    </w:p>
    <w:p w:rsidR="00146863" w:rsidRPr="00152536" w:rsidRDefault="00146863" w:rsidP="00146863">
      <w:pPr>
        <w:ind w:firstLine="567"/>
        <w:jc w:val="both"/>
        <w:rPr>
          <w:sz w:val="24"/>
          <w:szCs w:val="24"/>
        </w:rPr>
      </w:pPr>
      <w:r w:rsidRPr="00ED58D8">
        <w:rPr>
          <w:sz w:val="24"/>
          <w:szCs w:val="24"/>
        </w:rPr>
        <w:t xml:space="preserve">В </w:t>
      </w:r>
      <w:r>
        <w:rPr>
          <w:sz w:val="24"/>
          <w:szCs w:val="24"/>
        </w:rPr>
        <w:t>следующем году будет продолжена работа над вхождением в различные федеральные проекты по созданию необходимой инфраструктуры</w:t>
      </w:r>
      <w:r w:rsidRPr="00ED58D8">
        <w:rPr>
          <w:sz w:val="24"/>
          <w:szCs w:val="24"/>
        </w:rPr>
        <w:t xml:space="preserve">, </w:t>
      </w:r>
      <w:r>
        <w:rPr>
          <w:sz w:val="24"/>
          <w:szCs w:val="24"/>
        </w:rPr>
        <w:t>перераспределению потоков</w:t>
      </w:r>
      <w:r w:rsidRPr="00ED58D8">
        <w:rPr>
          <w:sz w:val="24"/>
          <w:szCs w:val="24"/>
        </w:rPr>
        <w:t xml:space="preserve"> людей в нужном направлении, организ</w:t>
      </w:r>
      <w:r>
        <w:rPr>
          <w:sz w:val="24"/>
          <w:szCs w:val="24"/>
        </w:rPr>
        <w:t>ации</w:t>
      </w:r>
      <w:r w:rsidRPr="00ED58D8">
        <w:rPr>
          <w:sz w:val="24"/>
          <w:szCs w:val="24"/>
        </w:rPr>
        <w:t xml:space="preserve"> их досуг</w:t>
      </w:r>
      <w:r>
        <w:rPr>
          <w:sz w:val="24"/>
          <w:szCs w:val="24"/>
        </w:rPr>
        <w:t>а и минимизации</w:t>
      </w:r>
      <w:r w:rsidRPr="00ED58D8">
        <w:rPr>
          <w:sz w:val="24"/>
          <w:szCs w:val="24"/>
        </w:rPr>
        <w:t xml:space="preserve"> </w:t>
      </w:r>
      <w:r>
        <w:rPr>
          <w:sz w:val="24"/>
          <w:szCs w:val="24"/>
        </w:rPr>
        <w:t>нанесения</w:t>
      </w:r>
      <w:r w:rsidRPr="00ED58D8">
        <w:rPr>
          <w:sz w:val="24"/>
          <w:szCs w:val="24"/>
        </w:rPr>
        <w:t xml:space="preserve"> вред</w:t>
      </w:r>
      <w:r>
        <w:rPr>
          <w:sz w:val="24"/>
          <w:szCs w:val="24"/>
        </w:rPr>
        <w:t>а озеру неорганизованным туризмом.</w:t>
      </w:r>
    </w:p>
    <w:p w:rsidR="000A32A6" w:rsidRDefault="000A32A6"/>
    <w:sectPr w:rsidR="000A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63"/>
    <w:rsid w:val="000A32A6"/>
    <w:rsid w:val="001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863"/>
    <w:pPr>
      <w:spacing w:after="120"/>
    </w:pPr>
  </w:style>
  <w:style w:type="character" w:customStyle="1" w:styleId="a4">
    <w:name w:val="Основной текст Знак"/>
    <w:basedOn w:val="a0"/>
    <w:link w:val="a3"/>
    <w:rsid w:val="001468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5"/>
    <w:rsid w:val="00146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4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6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863"/>
    <w:pPr>
      <w:spacing w:after="120"/>
    </w:pPr>
  </w:style>
  <w:style w:type="character" w:customStyle="1" w:styleId="a4">
    <w:name w:val="Основной текст Знак"/>
    <w:basedOn w:val="a0"/>
    <w:link w:val="a3"/>
    <w:rsid w:val="001468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5"/>
    <w:rsid w:val="00146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4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6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yon.local\Total\&#1059;&#1087;&#1088;&#1072;&#1074;&#1083;&#1077;&#1085;&#1080;&#1077;%20&#1101;&#1082;&#1086;&#1085;&#1086;&#1084;&#1080;&#1082;&#1080;\&#1059;&#1089;&#1086;&#1083;&#1100;&#1094;&#1077;&#1074;&#1072;%20&#1040;.&#1042;\&#1058;&#1091;&#1088;&#1080;&#1079;&#1084;\&#1050;&#1057;&#1056;\&#1052;&#1086;&#1085;&#1080;&#1090;&#1086;&#1088;&#1080;&#1085;&#1075;\2017\&#1084;&#1086;&#1081;%20&#1089;&#1074;&#1086;&#1076;\&#1103;&#1085;&#1074;&#1072;&#1088;&#1100;%2018%20&#1079;&#1072;%202017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</a:t>
            </a:r>
            <a:r>
              <a:rPr lang="ru-RU" sz="1400" baseline="0"/>
              <a:t> туристского потока по сезонам</a:t>
            </a:r>
            <a:endParaRPr lang="ru-RU" sz="1400"/>
          </a:p>
        </c:rich>
      </c:tx>
      <c:overlay val="0"/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v>Прибытия, тыс.чел.</c:v>
          </c:tx>
          <c:cat>
            <c:strRef>
              <c:f>'[январь 18 за 2017 год.xlsx]Лист1'!$A$7:$A$18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'[январь 18 за 2017 год.xlsx]Лист1'!$AV$7:$AV$18</c:f>
              <c:numCache>
                <c:formatCode>General</c:formatCode>
                <c:ptCount val="12"/>
                <c:pt idx="0">
                  <c:v>29.628999999999998</c:v>
                </c:pt>
                <c:pt idx="1">
                  <c:v>27.472000000000001</c:v>
                </c:pt>
                <c:pt idx="2">
                  <c:v>28.506</c:v>
                </c:pt>
                <c:pt idx="3">
                  <c:v>11.542000000000002</c:v>
                </c:pt>
                <c:pt idx="4">
                  <c:v>15.438000000000002</c:v>
                </c:pt>
                <c:pt idx="5">
                  <c:v>22.319999999999979</c:v>
                </c:pt>
                <c:pt idx="6">
                  <c:v>34.082999999999998</c:v>
                </c:pt>
                <c:pt idx="7">
                  <c:v>22.412000000000006</c:v>
                </c:pt>
                <c:pt idx="8">
                  <c:v>12.899000000000029</c:v>
                </c:pt>
                <c:pt idx="9">
                  <c:v>4.8619999999999948</c:v>
                </c:pt>
                <c:pt idx="10">
                  <c:v>3.1099999999999852</c:v>
                </c:pt>
                <c:pt idx="11">
                  <c:v>18.807999999999993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3063936"/>
        <c:axId val="193131264"/>
      </c:radarChart>
      <c:catAx>
        <c:axId val="193063936"/>
        <c:scaling>
          <c:orientation val="minMax"/>
        </c:scaling>
        <c:delete val="0"/>
        <c:axPos val="b"/>
        <c:majorGridlines/>
        <c:numFmt formatCode="@" sourceLinked="0"/>
        <c:majorTickMark val="none"/>
        <c:minorTickMark val="none"/>
        <c:tickLblPos val="nextTo"/>
        <c:crossAx val="193131264"/>
        <c:crosses val="autoZero"/>
        <c:auto val="1"/>
        <c:lblAlgn val="ctr"/>
        <c:lblOffset val="100"/>
        <c:noMultiLvlLbl val="0"/>
      </c:catAx>
      <c:valAx>
        <c:axId val="193131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3063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туристского потока по дестинациям (популярным точкам притяжения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007436570428695E-2"/>
          <c:y val="0.27332368445512606"/>
          <c:w val="0.9391542162998856"/>
          <c:h val="0.6942144731908511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Горнолыжный курорт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КБЖД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Хамар-Дабан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11.8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Дикие пляжи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Событийные мероприятия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Лист1!$G$2</c:f>
              <c:numCache>
                <c:formatCode>0</c:formatCode>
                <c:ptCount val="1"/>
                <c:pt idx="0">
                  <c:v>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99557120"/>
        <c:axId val="199558656"/>
        <c:axId val="0"/>
      </c:bar3DChart>
      <c:catAx>
        <c:axId val="199557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9558656"/>
        <c:crosses val="autoZero"/>
        <c:auto val="0"/>
        <c:lblAlgn val="ctr"/>
        <c:lblOffset val="10"/>
        <c:tickLblSkip val="1"/>
        <c:noMultiLvlLbl val="0"/>
      </c:catAx>
      <c:valAx>
        <c:axId val="199558656"/>
        <c:scaling>
          <c:orientation val="minMax"/>
        </c:scaling>
        <c:delete val="1"/>
        <c:axPos val="b"/>
        <c:numFmt formatCode="#,##0" sourceLinked="0"/>
        <c:majorTickMark val="none"/>
        <c:minorTickMark val="none"/>
        <c:tickLblPos val="none"/>
        <c:crossAx val="1995571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05"/>
          <c:y val="0.16628540319475243"/>
          <c:w val="0.9"/>
          <c:h val="0.1143920725967151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показателей Слюдянского района в показателях Иркутской области за 2017 год, %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0.85599999999999998</c:v>
                </c:pt>
                <c:pt idx="1">
                  <c:v>0.94499999999999995</c:v>
                </c:pt>
                <c:pt idx="2">
                  <c:v>0.91200000000000003</c:v>
                </c:pt>
                <c:pt idx="3">
                  <c:v>0.95199999999999996</c:v>
                </c:pt>
                <c:pt idx="4">
                  <c:v>0.66999999999999993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Слюдянский район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0.14399999999999999</c:v>
                </c:pt>
                <c:pt idx="1">
                  <c:v>5.5E-2</c:v>
                </c:pt>
                <c:pt idx="2">
                  <c:v>8.7999999999999995E-2</c:v>
                </c:pt>
                <c:pt idx="3">
                  <c:v>4.8000000000000001E-2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99578368"/>
        <c:axId val="199586176"/>
      </c:barChart>
      <c:catAx>
        <c:axId val="1995783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9586176"/>
        <c:crosses val="autoZero"/>
        <c:auto val="1"/>
        <c:lblAlgn val="ctr"/>
        <c:lblOffset val="100"/>
        <c:noMultiLvlLbl val="0"/>
      </c:catAx>
      <c:valAx>
        <c:axId val="19958617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9957836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Салдушева Анастасия Валерьевна</dc:creator>
  <cp:lastModifiedBy>Салдушева Анастасия Валерьевна</cp:lastModifiedBy>
  <cp:revision>1</cp:revision>
  <dcterms:created xsi:type="dcterms:W3CDTF">2019-06-11T06:12:00Z</dcterms:created>
  <dcterms:modified xsi:type="dcterms:W3CDTF">2019-06-11T06:12:00Z</dcterms:modified>
</cp:coreProperties>
</file>