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3" w:rsidRPr="00C36CAE" w:rsidRDefault="008B14F3" w:rsidP="00BB6858">
      <w:pPr>
        <w:jc w:val="center"/>
        <w:rPr>
          <w:sz w:val="28"/>
          <w:szCs w:val="28"/>
          <w:lang w:eastAsia="en-US"/>
        </w:rPr>
      </w:pPr>
      <w:r w:rsidRPr="00C36CAE">
        <w:rPr>
          <w:sz w:val="28"/>
          <w:szCs w:val="28"/>
          <w:lang w:eastAsia="en-US"/>
        </w:rPr>
        <w:t xml:space="preserve">ПАСПОРТ </w:t>
      </w:r>
      <w:r>
        <w:rPr>
          <w:sz w:val="28"/>
          <w:szCs w:val="28"/>
          <w:lang w:eastAsia="en-US"/>
        </w:rPr>
        <w:t>МУНИЦИПАЛЬНОЙ</w:t>
      </w:r>
      <w:r w:rsidRPr="00C36CAE">
        <w:rPr>
          <w:sz w:val="28"/>
          <w:szCs w:val="28"/>
          <w:lang w:eastAsia="en-US"/>
        </w:rPr>
        <w:t xml:space="preserve"> ПРОГРАММЫ</w:t>
      </w:r>
    </w:p>
    <w:p w:rsidR="008B14F3" w:rsidRPr="00A052BC" w:rsidRDefault="00A052BC" w:rsidP="00BB6858">
      <w:pPr>
        <w:jc w:val="center"/>
        <w:rPr>
          <w:sz w:val="28"/>
          <w:szCs w:val="28"/>
          <w:lang w:eastAsia="en-US"/>
        </w:rPr>
      </w:pPr>
      <w:r w:rsidRPr="00A052BC">
        <w:rPr>
          <w:sz w:val="28"/>
          <w:szCs w:val="28"/>
        </w:rPr>
        <w:t xml:space="preserve">«Повышение транспортной доступности, обеспечение условий для реализации потребностей граждан муниципального образования </w:t>
      </w:r>
      <w:proofErr w:type="spellStart"/>
      <w:r w:rsidRPr="00A052BC">
        <w:rPr>
          <w:sz w:val="28"/>
          <w:szCs w:val="28"/>
        </w:rPr>
        <w:t>Слюдянский</w:t>
      </w:r>
      <w:proofErr w:type="spellEnd"/>
      <w:r w:rsidRPr="00A052BC">
        <w:rPr>
          <w:sz w:val="28"/>
          <w:szCs w:val="28"/>
        </w:rPr>
        <w:t xml:space="preserve"> район в перевозках» на 2019-2024 годы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rPr>
                <w:lang w:eastAsia="en-US"/>
              </w:rPr>
            </w:pPr>
            <w:r w:rsidRPr="00E86B9E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540" w:type="dxa"/>
            <w:vAlign w:val="center"/>
          </w:tcPr>
          <w:p w:rsidR="008B14F3" w:rsidRPr="00E86B9E" w:rsidRDefault="00277D91" w:rsidP="00E86B9E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86B9E">
              <w:t xml:space="preserve">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E86B9E">
              <w:t>Слюдянский</w:t>
            </w:r>
            <w:proofErr w:type="spellEnd"/>
            <w:r w:rsidRPr="00E86B9E">
              <w:t xml:space="preserve"> район в перевоз</w:t>
            </w:r>
            <w:r w:rsidR="00E86B9E">
              <w:t>ках» на 2019-2024</w:t>
            </w:r>
            <w:r w:rsidRPr="00E86B9E">
              <w:t xml:space="preserve"> годы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rPr>
                <w:lang w:eastAsia="en-US"/>
              </w:rPr>
            </w:pPr>
            <w:r w:rsidRPr="00E86B9E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vAlign w:val="center"/>
          </w:tcPr>
          <w:p w:rsidR="008B14F3" w:rsidRPr="00E86B9E" w:rsidRDefault="00E86B9E" w:rsidP="0044526C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64CB6"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C64CB6">
              <w:t>Слюдянский</w:t>
            </w:r>
            <w:proofErr w:type="spellEnd"/>
            <w:r w:rsidRPr="00C64CB6">
              <w:t xml:space="preserve"> район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outlineLvl w:val="4"/>
              <w:rPr>
                <w:lang w:eastAsia="en-US"/>
              </w:rPr>
            </w:pPr>
            <w:r w:rsidRPr="00E86B9E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vAlign w:val="center"/>
          </w:tcPr>
          <w:p w:rsidR="008B14F3" w:rsidRPr="00E86B9E" w:rsidRDefault="00E86B9E" w:rsidP="0044526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t>Администрация</w:t>
            </w:r>
            <w:r w:rsidRPr="00C64CB6">
              <w:t xml:space="preserve"> муниципального образования </w:t>
            </w:r>
            <w:proofErr w:type="spellStart"/>
            <w:r w:rsidRPr="00C64CB6">
              <w:t>Слюдянский</w:t>
            </w:r>
            <w:proofErr w:type="spellEnd"/>
            <w:r w:rsidRPr="00C64CB6">
              <w:t xml:space="preserve"> район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outlineLvl w:val="4"/>
              <w:rPr>
                <w:lang w:eastAsia="en-US"/>
              </w:rPr>
            </w:pPr>
            <w:r w:rsidRPr="00E86B9E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4540" w:type="dxa"/>
            <w:vAlign w:val="center"/>
          </w:tcPr>
          <w:p w:rsidR="008B14F3" w:rsidRPr="00E86B9E" w:rsidRDefault="00E86B9E" w:rsidP="0044526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Повышение доступности транспортных услуг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outlineLvl w:val="4"/>
              <w:rPr>
                <w:lang w:eastAsia="en-US"/>
              </w:rPr>
            </w:pPr>
            <w:r w:rsidRPr="00E86B9E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4540" w:type="dxa"/>
            <w:vAlign w:val="center"/>
          </w:tcPr>
          <w:p w:rsidR="008B14F3" w:rsidRPr="00E86B9E" w:rsidRDefault="00E86B9E" w:rsidP="003D222E">
            <w:pPr>
              <w:pStyle w:val="a3"/>
              <w:widowControl w:val="0"/>
              <w:numPr>
                <w:ilvl w:val="0"/>
                <w:numId w:val="2"/>
              </w:numPr>
              <w:ind w:left="34" w:firstLine="283"/>
              <w:jc w:val="both"/>
              <w:rPr>
                <w:lang w:eastAsia="en-US"/>
              </w:rPr>
            </w:pPr>
            <w:r w:rsidRPr="00E46DB3">
              <w:t>Создание условий для удовлетворения потребностей населения муниципального района в перевозках пассажиров</w:t>
            </w:r>
            <w:r w:rsidR="003D222E">
              <w:t>, п</w:t>
            </w:r>
            <w:r w:rsidRPr="00E46DB3">
              <w:t>овышение качества перевозок пассажиров</w:t>
            </w:r>
            <w:r w:rsidR="00E46DB3" w:rsidRPr="00E46DB3">
              <w:t>.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outlineLvl w:val="4"/>
              <w:rPr>
                <w:lang w:eastAsia="en-US"/>
              </w:rPr>
            </w:pPr>
            <w:r w:rsidRPr="00E86B9E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540" w:type="dxa"/>
            <w:vAlign w:val="center"/>
          </w:tcPr>
          <w:p w:rsidR="008B14F3" w:rsidRPr="00E86B9E" w:rsidRDefault="003B3AE9" w:rsidP="0044526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2019 – 2024 годы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rPr>
                <w:lang w:eastAsia="en-US"/>
              </w:rPr>
            </w:pPr>
            <w:r w:rsidRPr="00E86B9E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4540" w:type="dxa"/>
            <w:vAlign w:val="center"/>
          </w:tcPr>
          <w:p w:rsidR="008B14F3" w:rsidRDefault="003B3AE9" w:rsidP="003B3AE9">
            <w:pPr>
              <w:pStyle w:val="a3"/>
              <w:widowControl w:val="0"/>
              <w:numPr>
                <w:ilvl w:val="0"/>
                <w:numId w:val="1"/>
              </w:numPr>
              <w:ind w:left="0" w:firstLine="317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Количество социально-значимых маршрутов;</w:t>
            </w:r>
          </w:p>
          <w:p w:rsidR="003B3AE9" w:rsidRPr="00E86B9E" w:rsidRDefault="003B3AE9" w:rsidP="00A052BC">
            <w:pPr>
              <w:pStyle w:val="a3"/>
              <w:widowControl w:val="0"/>
              <w:numPr>
                <w:ilvl w:val="0"/>
                <w:numId w:val="1"/>
              </w:numPr>
              <w:ind w:left="0" w:firstLine="317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населения, охваченн</w:t>
            </w:r>
            <w:r w:rsidR="00A052BC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межпоселенческими</w:t>
            </w:r>
            <w:proofErr w:type="spellEnd"/>
            <w:r>
              <w:rPr>
                <w:lang w:eastAsia="en-US"/>
              </w:rPr>
              <w:t xml:space="preserve"> маршрутами.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rPr>
                <w:lang w:eastAsia="en-US"/>
              </w:rPr>
            </w:pPr>
            <w:r w:rsidRPr="00E86B9E">
              <w:rPr>
                <w:lang w:eastAsia="en-US"/>
              </w:rPr>
              <w:t>Подпрограммы программы</w:t>
            </w:r>
          </w:p>
        </w:tc>
        <w:tc>
          <w:tcPr>
            <w:tcW w:w="4540" w:type="dxa"/>
            <w:vAlign w:val="center"/>
          </w:tcPr>
          <w:p w:rsidR="008B14F3" w:rsidRPr="00E86B9E" w:rsidRDefault="00A052BC" w:rsidP="0044526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rPr>
                <w:lang w:eastAsia="en-US"/>
              </w:rPr>
            </w:pPr>
            <w:r w:rsidRPr="00E86B9E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4540" w:type="dxa"/>
            <w:vAlign w:val="center"/>
          </w:tcPr>
          <w:p w:rsidR="00E27E55" w:rsidRPr="00180F46" w:rsidRDefault="00E27E55" w:rsidP="00E27E5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80F46">
              <w:t>201</w:t>
            </w:r>
            <w:r w:rsidR="00E46DB3">
              <w:t>9</w:t>
            </w:r>
            <w:r w:rsidRPr="00180F46">
              <w:t xml:space="preserve"> год – </w:t>
            </w:r>
            <w:r w:rsidR="00E46DB3">
              <w:t>0</w:t>
            </w:r>
            <w:r w:rsidRPr="00180F46">
              <w:t xml:space="preserve"> рублей;</w:t>
            </w:r>
          </w:p>
          <w:p w:rsidR="00E27E55" w:rsidRPr="00180F46" w:rsidRDefault="00E46DB3" w:rsidP="00E27E55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2020</w:t>
            </w:r>
            <w:r w:rsidR="00E27E55" w:rsidRPr="00180F46">
              <w:t xml:space="preserve"> год – </w:t>
            </w:r>
            <w:r>
              <w:t>0</w:t>
            </w:r>
            <w:r w:rsidR="00E27E55" w:rsidRPr="00180F46">
              <w:t xml:space="preserve"> рублей;</w:t>
            </w:r>
          </w:p>
          <w:p w:rsidR="00E27E55" w:rsidRPr="00180F46" w:rsidRDefault="00E27E55" w:rsidP="00E27E55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80F46">
              <w:t>20</w:t>
            </w:r>
            <w:r w:rsidR="00E46DB3">
              <w:t>2</w:t>
            </w:r>
            <w:r w:rsidRPr="00180F46">
              <w:t>1 год –</w:t>
            </w:r>
            <w:r w:rsidR="00E46DB3">
              <w:t xml:space="preserve"> </w:t>
            </w:r>
            <w:r w:rsidR="00A613A6">
              <w:t xml:space="preserve">494000,00 </w:t>
            </w:r>
            <w:r w:rsidRPr="00180F46">
              <w:t>рублей;</w:t>
            </w:r>
          </w:p>
          <w:p w:rsidR="00E27E55" w:rsidRPr="00180F46" w:rsidRDefault="00E46DB3" w:rsidP="00E27E55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2022</w:t>
            </w:r>
            <w:r w:rsidR="00E27E55" w:rsidRPr="00180F46">
              <w:t xml:space="preserve"> год – </w:t>
            </w:r>
            <w:r w:rsidR="00BB6858">
              <w:t>494000,00</w:t>
            </w:r>
            <w:r w:rsidR="00A613A6">
              <w:t xml:space="preserve"> </w:t>
            </w:r>
            <w:r w:rsidR="00E27E55" w:rsidRPr="00180F46">
              <w:t>рублей;</w:t>
            </w:r>
          </w:p>
          <w:p w:rsidR="008B14F3" w:rsidRDefault="00E27E55" w:rsidP="00A613A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180F46">
              <w:t>20</w:t>
            </w:r>
            <w:r w:rsidR="00E46DB3">
              <w:t>23</w:t>
            </w:r>
            <w:r w:rsidRPr="00180F46">
              <w:t xml:space="preserve"> год – </w:t>
            </w:r>
            <w:r w:rsidR="00BB6858">
              <w:t>494000,00</w:t>
            </w:r>
            <w:r w:rsidR="00A613A6">
              <w:t xml:space="preserve"> </w:t>
            </w:r>
            <w:r w:rsidRPr="00180F46">
              <w:t>рубл</w:t>
            </w:r>
            <w:r w:rsidR="00E46DB3">
              <w:t>ей</w:t>
            </w:r>
            <w:r w:rsidR="00A613A6">
              <w:t>;</w:t>
            </w:r>
          </w:p>
          <w:p w:rsidR="00A613A6" w:rsidRDefault="00BB6858" w:rsidP="00A613A6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2024 год – 494000,00</w:t>
            </w:r>
            <w:r w:rsidR="00A613A6">
              <w:t xml:space="preserve"> рублей.</w:t>
            </w:r>
          </w:p>
          <w:p w:rsidR="00F108C9" w:rsidRDefault="00F108C9" w:rsidP="00A613A6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ИТОГО – 1976000,00 рублей</w:t>
            </w:r>
          </w:p>
          <w:p w:rsidR="00F108C9" w:rsidRPr="00E86B9E" w:rsidRDefault="00F108C9" w:rsidP="00A613A6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>
              <w:t>Финансирование осуществляется за счет средств местного бюджета.</w:t>
            </w:r>
          </w:p>
        </w:tc>
      </w:tr>
      <w:tr w:rsidR="008B14F3" w:rsidRPr="00806530" w:rsidTr="0044526C">
        <w:tc>
          <w:tcPr>
            <w:tcW w:w="4928" w:type="dxa"/>
            <w:vAlign w:val="center"/>
          </w:tcPr>
          <w:p w:rsidR="008B14F3" w:rsidRPr="00E86B9E" w:rsidRDefault="008B14F3" w:rsidP="0044526C">
            <w:pPr>
              <w:widowControl w:val="0"/>
              <w:rPr>
                <w:lang w:eastAsia="en-US"/>
              </w:rPr>
            </w:pPr>
            <w:r w:rsidRPr="00E86B9E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4540" w:type="dxa"/>
            <w:vAlign w:val="center"/>
          </w:tcPr>
          <w:p w:rsidR="007828FF" w:rsidRPr="00BB6858" w:rsidRDefault="007828FF" w:rsidP="00BB6858">
            <w:pPr>
              <w:pStyle w:val="a3"/>
              <w:widowControl w:val="0"/>
              <w:numPr>
                <w:ilvl w:val="0"/>
                <w:numId w:val="4"/>
              </w:numPr>
              <w:ind w:left="-108" w:firstLine="567"/>
              <w:jc w:val="both"/>
              <w:outlineLvl w:val="4"/>
            </w:pPr>
            <w:r w:rsidRPr="00BB6858">
              <w:t>Сохранение численности населения, охваченного автобусной сетью пригородных маршрутов до 38,8</w:t>
            </w:r>
            <w:r w:rsidR="00A052BC" w:rsidRPr="00BB6858">
              <w:t>1</w:t>
            </w:r>
            <w:r w:rsidRPr="00BB6858">
              <w:t>5 тыс. чел.</w:t>
            </w:r>
          </w:p>
          <w:p w:rsidR="007828FF" w:rsidRPr="00BB6858" w:rsidRDefault="007828FF" w:rsidP="00BB6858">
            <w:pPr>
              <w:pStyle w:val="a3"/>
              <w:widowControl w:val="0"/>
              <w:numPr>
                <w:ilvl w:val="0"/>
                <w:numId w:val="4"/>
              </w:numPr>
              <w:ind w:left="-108" w:firstLine="567"/>
              <w:jc w:val="both"/>
              <w:outlineLvl w:val="4"/>
            </w:pPr>
            <w:r w:rsidRPr="00BB6858">
              <w:t>Увеличение</w:t>
            </w:r>
            <w:r w:rsidR="00A052BC" w:rsidRPr="00BB6858">
              <w:t xml:space="preserve"> и сохранение</w:t>
            </w:r>
            <w:r w:rsidRPr="00BB6858">
              <w:t xml:space="preserve"> количества   социально-значимых муниципальных (пригородных) регулярных маршрутов – до 3.</w:t>
            </w:r>
          </w:p>
          <w:p w:rsidR="008B14F3" w:rsidRPr="00E86B9E" w:rsidRDefault="008B14F3" w:rsidP="0044526C">
            <w:pPr>
              <w:widowControl w:val="0"/>
              <w:jc w:val="both"/>
              <w:outlineLvl w:val="4"/>
              <w:rPr>
                <w:lang w:eastAsia="en-US"/>
              </w:rPr>
            </w:pPr>
          </w:p>
        </w:tc>
      </w:tr>
    </w:tbl>
    <w:p w:rsidR="008B14F3" w:rsidRPr="00C36CAE" w:rsidRDefault="008B14F3" w:rsidP="008B14F3">
      <w:pPr>
        <w:ind w:firstLine="709"/>
        <w:jc w:val="both"/>
        <w:rPr>
          <w:sz w:val="28"/>
          <w:szCs w:val="28"/>
          <w:lang w:eastAsia="en-US"/>
        </w:rPr>
      </w:pPr>
    </w:p>
    <w:p w:rsidR="004918ED" w:rsidRDefault="004918ED"/>
    <w:p w:rsidR="008B14F3" w:rsidRDefault="008B14F3"/>
    <w:p w:rsidR="008B14F3" w:rsidRDefault="008B14F3"/>
    <w:p w:rsidR="008B14F3" w:rsidRDefault="008B14F3"/>
    <w:p w:rsidR="008B14F3" w:rsidRPr="0044526C" w:rsidRDefault="00A613A6" w:rsidP="00A613A6">
      <w:pPr>
        <w:jc w:val="center"/>
      </w:pPr>
      <w:r>
        <w:t>РАЗДЕЛ 1. ХАРАКТЕРИСТИКА ТЕКУЩЕГО СОСТОЯНИЯ СФЕРЫ РЕАЛИЗАЦИИ МУНИЦИПАЛЬНОЙ ПРОГРАММЫ</w:t>
      </w:r>
    </w:p>
    <w:p w:rsidR="00A613A6" w:rsidRPr="0044526C" w:rsidRDefault="00A613A6"/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</w:t>
      </w:r>
      <w:r w:rsidR="00E33DB2">
        <w:rPr>
          <w:rFonts w:ascii="Times New Roman" w:hAnsi="Times New Roman" w:cs="Times New Roman"/>
          <w:sz w:val="24"/>
          <w:szCs w:val="24"/>
        </w:rPr>
        <w:t xml:space="preserve">с </w:t>
      </w:r>
      <w:r w:rsidRPr="006267A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  от 28 августа 2013 года № 1278 «Об утверждении </w:t>
      </w:r>
      <w:hyperlink r:id="rId6" w:anchor="Par39" w:history="1">
        <w:proofErr w:type="gramStart"/>
        <w:r w:rsidRPr="006267AF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267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67AF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 и их формирования и реализации».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Одной из важнейших и социально-значимых задач органов местного самоуправления является развитие системы транспортного обслуживания населения  с целью повышения качества оказываемых услуг.</w:t>
      </w:r>
    </w:p>
    <w:p w:rsidR="00ED0C26" w:rsidRDefault="00A613A6" w:rsidP="00ED0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Как работает данный  сектор экономики,  в полной мере ощущают на себе все жители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район. От эффективности функционирования пассажирского транспортного комплекса во многом зависит  сохранение социальной, экономической и политической стабильности жизни района. </w:t>
      </w:r>
    </w:p>
    <w:p w:rsidR="00A613A6" w:rsidRPr="00E33DB2" w:rsidRDefault="00ED0C26" w:rsidP="00ED0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</w:t>
      </w:r>
      <w:r w:rsidR="00A613A6" w:rsidRPr="005D71D6">
        <w:rPr>
          <w:rFonts w:ascii="Times New Roman" w:hAnsi="Times New Roman" w:cs="Times New Roman"/>
          <w:sz w:val="24"/>
          <w:szCs w:val="24"/>
        </w:rPr>
        <w:t xml:space="preserve"> основными федеральными нормативными правовыми актами, регламентирующими правила организации пассажирских перевозок,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613A6" w:rsidRPr="005D71D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</w:r>
      <w:r w:rsidR="00A613A6" w:rsidRPr="00E33DB2">
        <w:rPr>
          <w:rFonts w:ascii="Times New Roman" w:hAnsi="Times New Roman" w:cs="Times New Roman"/>
          <w:sz w:val="24"/>
          <w:szCs w:val="24"/>
        </w:rPr>
        <w:t>Федеральный закон  от 08.11.2007 №259-ФЗ «Устав автомобильного транспорта и городского наземного электрического транспорта», Федеральный закон от 10.12.1995 N 196-ФЗ "О безопасности дорожного движения", Постановление Правительства Российской Федерации</w:t>
      </w:r>
      <w:proofErr w:type="gramEnd"/>
      <w:r w:rsidR="00A613A6" w:rsidRPr="00E33DB2">
        <w:rPr>
          <w:rFonts w:ascii="Times New Roman" w:hAnsi="Times New Roman" w:cs="Times New Roman"/>
          <w:sz w:val="24"/>
          <w:szCs w:val="24"/>
        </w:rPr>
        <w:t xml:space="preserve"> от 14.02.2009 №</w:t>
      </w:r>
      <w:r w:rsidR="00BB6858">
        <w:rPr>
          <w:rFonts w:ascii="Times New Roman" w:hAnsi="Times New Roman" w:cs="Times New Roman"/>
          <w:sz w:val="24"/>
          <w:szCs w:val="24"/>
        </w:rPr>
        <w:t xml:space="preserve"> </w:t>
      </w:r>
      <w:r w:rsidR="00A613A6" w:rsidRPr="00E33DB2">
        <w:rPr>
          <w:rFonts w:ascii="Times New Roman" w:hAnsi="Times New Roman" w:cs="Times New Roman"/>
          <w:sz w:val="24"/>
          <w:szCs w:val="24"/>
        </w:rPr>
        <w:t>112 "Об утверждении правил  перевозок пассажиров и багажа  автомобильным транспортом и городским наземным электрическим  транспортом",  и иные нормативные правовые акты.</w:t>
      </w:r>
    </w:p>
    <w:p w:rsidR="008C5373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DB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D0C26" w:rsidRPr="00E33DB2">
        <w:rPr>
          <w:rFonts w:ascii="Times New Roman" w:hAnsi="Times New Roman" w:cs="Times New Roman"/>
          <w:sz w:val="24"/>
          <w:szCs w:val="24"/>
        </w:rPr>
        <w:t>принятием в 2015 году нового Федерального</w:t>
      </w:r>
      <w:r w:rsidR="00ED0C26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пассажирский транспорт оказался в</w:t>
      </w:r>
      <w:r w:rsidR="00ED0C26">
        <w:rPr>
          <w:rFonts w:ascii="Times New Roman" w:hAnsi="Times New Roman" w:cs="Times New Roman"/>
          <w:sz w:val="24"/>
          <w:szCs w:val="24"/>
        </w:rPr>
        <w:t xml:space="preserve"> правовом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пол</w:t>
      </w:r>
      <w:r w:rsidR="00ED0C26"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>, регулирующе</w:t>
      </w:r>
      <w:r w:rsidR="00ED0C26">
        <w:rPr>
          <w:rFonts w:ascii="Times New Roman" w:hAnsi="Times New Roman" w:cs="Times New Roman"/>
          <w:sz w:val="24"/>
          <w:szCs w:val="24"/>
        </w:rPr>
        <w:t>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 рыночных условиях сферу предоставления населению услуг по пассажирским перевозкам, </w:t>
      </w:r>
      <w:r w:rsidR="00ED0C26">
        <w:rPr>
          <w:rFonts w:ascii="Times New Roman" w:hAnsi="Times New Roman" w:cs="Times New Roman"/>
          <w:sz w:val="24"/>
          <w:szCs w:val="24"/>
        </w:rPr>
        <w:t xml:space="preserve">стало возможно </w:t>
      </w:r>
      <w:r w:rsidRPr="006267AF">
        <w:rPr>
          <w:rFonts w:ascii="Times New Roman" w:hAnsi="Times New Roman" w:cs="Times New Roman"/>
          <w:sz w:val="24"/>
          <w:szCs w:val="24"/>
        </w:rPr>
        <w:t>осуществл</w:t>
      </w:r>
      <w:r w:rsidR="00ED0C26">
        <w:rPr>
          <w:rFonts w:ascii="Times New Roman" w:hAnsi="Times New Roman" w:cs="Times New Roman"/>
          <w:sz w:val="24"/>
          <w:szCs w:val="24"/>
        </w:rPr>
        <w:t>ять</w:t>
      </w:r>
      <w:r w:rsidRPr="006267AF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ED0C26"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ED0C26"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на перевозчиков. </w:t>
      </w:r>
      <w:r w:rsidR="00ED0C26">
        <w:rPr>
          <w:rFonts w:ascii="Times New Roman" w:hAnsi="Times New Roman" w:cs="Times New Roman"/>
          <w:sz w:val="24"/>
          <w:szCs w:val="24"/>
        </w:rPr>
        <w:t>Возник</w:t>
      </w:r>
      <w:r w:rsidRPr="006267AF">
        <w:rPr>
          <w:rFonts w:ascii="Times New Roman" w:hAnsi="Times New Roman" w:cs="Times New Roman"/>
          <w:sz w:val="24"/>
          <w:szCs w:val="24"/>
        </w:rPr>
        <w:t xml:space="preserve"> механизм ограничения допуска перевозчиков на рынок транспортного обслуживания населения</w:t>
      </w:r>
      <w:r w:rsidR="008C5373">
        <w:rPr>
          <w:rFonts w:ascii="Times New Roman" w:hAnsi="Times New Roman" w:cs="Times New Roman"/>
          <w:sz w:val="24"/>
          <w:szCs w:val="24"/>
        </w:rPr>
        <w:t>,</w:t>
      </w:r>
      <w:r w:rsidRPr="006267AF">
        <w:rPr>
          <w:rFonts w:ascii="Times New Roman" w:hAnsi="Times New Roman" w:cs="Times New Roman"/>
          <w:sz w:val="24"/>
          <w:szCs w:val="24"/>
        </w:rPr>
        <w:t xml:space="preserve">  </w:t>
      </w:r>
      <w:r w:rsidR="00ED0C26">
        <w:rPr>
          <w:rFonts w:ascii="Times New Roman" w:hAnsi="Times New Roman" w:cs="Times New Roman"/>
          <w:sz w:val="24"/>
          <w:szCs w:val="24"/>
        </w:rPr>
        <w:t xml:space="preserve">что </w:t>
      </w:r>
      <w:r w:rsidRPr="006267AF">
        <w:rPr>
          <w:rFonts w:ascii="Times New Roman" w:hAnsi="Times New Roman" w:cs="Times New Roman"/>
          <w:sz w:val="24"/>
          <w:szCs w:val="24"/>
        </w:rPr>
        <w:t xml:space="preserve">способствует повышению качества перевозок. В связи с этим  администрация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5373">
        <w:rPr>
          <w:rFonts w:ascii="Times New Roman" w:hAnsi="Times New Roman" w:cs="Times New Roman"/>
          <w:sz w:val="24"/>
          <w:szCs w:val="24"/>
        </w:rPr>
        <w:t xml:space="preserve"> в 2018 году были проведены открытые конкурсы на в</w:t>
      </w:r>
      <w:r w:rsidR="008C5373" w:rsidRPr="00AE64A6">
        <w:rPr>
          <w:rFonts w:ascii="Times New Roman" w:hAnsi="Times New Roman"/>
          <w:sz w:val="24"/>
          <w:szCs w:val="24"/>
        </w:rPr>
        <w:t xml:space="preserve">ыполнение работ, связанных с осуществлением регулярных перевозок пассажиров и багажа автомобильным транспортом по регулируемым тарифам по </w:t>
      </w:r>
      <w:r w:rsidR="008C5373">
        <w:rPr>
          <w:rFonts w:ascii="Times New Roman" w:hAnsi="Times New Roman"/>
          <w:sz w:val="24"/>
          <w:szCs w:val="24"/>
        </w:rPr>
        <w:t>пригородным</w:t>
      </w:r>
      <w:r w:rsidR="008C5373" w:rsidRPr="00AE64A6">
        <w:rPr>
          <w:rFonts w:ascii="Times New Roman" w:hAnsi="Times New Roman"/>
          <w:sz w:val="24"/>
          <w:szCs w:val="24"/>
        </w:rPr>
        <w:t xml:space="preserve"> маршрут</w:t>
      </w:r>
      <w:r w:rsidR="008C5373">
        <w:rPr>
          <w:rFonts w:ascii="Times New Roman" w:hAnsi="Times New Roman"/>
          <w:sz w:val="24"/>
          <w:szCs w:val="24"/>
        </w:rPr>
        <w:t>ам</w:t>
      </w:r>
      <w:r w:rsidR="008C5373" w:rsidRPr="00AE64A6">
        <w:rPr>
          <w:rFonts w:ascii="Times New Roman" w:hAnsi="Times New Roman"/>
          <w:sz w:val="24"/>
          <w:szCs w:val="24"/>
        </w:rPr>
        <w:t xml:space="preserve"> регулярных перевозок </w:t>
      </w:r>
      <w:r w:rsidR="008C5373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8C537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C5373">
        <w:rPr>
          <w:rFonts w:ascii="Times New Roman" w:hAnsi="Times New Roman"/>
          <w:sz w:val="24"/>
          <w:szCs w:val="24"/>
        </w:rPr>
        <w:t xml:space="preserve"> района</w:t>
      </w:r>
      <w:r w:rsidR="00ED0C26">
        <w:rPr>
          <w:rFonts w:ascii="Times New Roman" w:hAnsi="Times New Roman" w:cs="Times New Roman"/>
          <w:sz w:val="24"/>
          <w:szCs w:val="24"/>
        </w:rPr>
        <w:t>.</w:t>
      </w:r>
    </w:p>
    <w:p w:rsidR="00AC55DE" w:rsidRDefault="008C5373" w:rsidP="00A613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открытого конкурса были определены перевозчики</w:t>
      </w:r>
      <w:r w:rsidR="00AC55DE">
        <w:rPr>
          <w:rFonts w:ascii="Times New Roman" w:hAnsi="Times New Roman" w:cs="Times New Roman"/>
          <w:sz w:val="24"/>
          <w:szCs w:val="24"/>
        </w:rPr>
        <w:t xml:space="preserve"> по муниципальным пригородным маршрутам: 1) ИП </w:t>
      </w:r>
      <w:proofErr w:type="spellStart"/>
      <w:r w:rsidR="00AC55DE"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 w:rsidR="00AC55DE">
        <w:rPr>
          <w:rFonts w:ascii="Times New Roman" w:hAnsi="Times New Roman" w:cs="Times New Roman"/>
          <w:sz w:val="24"/>
          <w:szCs w:val="24"/>
        </w:rPr>
        <w:t xml:space="preserve"> Г.Т. - </w:t>
      </w:r>
      <w:r w:rsidR="00AC55DE" w:rsidRPr="00AC55DE">
        <w:rPr>
          <w:rFonts w:ascii="Times New Roman" w:hAnsi="Times New Roman"/>
          <w:sz w:val="24"/>
          <w:szCs w:val="24"/>
        </w:rPr>
        <w:t xml:space="preserve">№ 103 «г.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 xml:space="preserve"> – г. Байкальск», № 107 «г.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 xml:space="preserve"> – п.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Мангутай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>»</w:t>
      </w:r>
      <w:r w:rsidR="00AC55DE">
        <w:rPr>
          <w:rFonts w:ascii="Times New Roman" w:hAnsi="Times New Roman"/>
          <w:sz w:val="24"/>
          <w:szCs w:val="24"/>
        </w:rPr>
        <w:t xml:space="preserve">; 2) ООО «Партнерство «Баргузин» - </w:t>
      </w:r>
      <w:r w:rsidR="00AC55DE" w:rsidRPr="00AC55DE">
        <w:rPr>
          <w:rFonts w:ascii="Times New Roman" w:hAnsi="Times New Roman"/>
          <w:sz w:val="24"/>
          <w:szCs w:val="24"/>
        </w:rPr>
        <w:t xml:space="preserve">№ 106 «г.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 xml:space="preserve"> – ст.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Ангасолка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 xml:space="preserve">», № 109 «г.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 xml:space="preserve"> – с. Тибельти», № 101 «г.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р.п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>.</w:t>
      </w:r>
      <w:proofErr w:type="gramEnd"/>
      <w:r w:rsidR="00AC55DE" w:rsidRPr="00AC55DE">
        <w:rPr>
          <w:rFonts w:ascii="Times New Roman" w:hAnsi="Times New Roman"/>
          <w:sz w:val="24"/>
          <w:szCs w:val="24"/>
        </w:rPr>
        <w:t xml:space="preserve"> Култук»</w:t>
      </w:r>
      <w:r w:rsidR="00AC55DE">
        <w:rPr>
          <w:rFonts w:ascii="Times New Roman" w:hAnsi="Times New Roman"/>
          <w:sz w:val="24"/>
          <w:szCs w:val="24"/>
        </w:rPr>
        <w:t xml:space="preserve">; 3) ИП </w:t>
      </w:r>
      <w:proofErr w:type="spellStart"/>
      <w:r w:rsidR="00AC55DE">
        <w:rPr>
          <w:rFonts w:ascii="Times New Roman" w:hAnsi="Times New Roman"/>
          <w:sz w:val="24"/>
          <w:szCs w:val="24"/>
        </w:rPr>
        <w:t>Велиева</w:t>
      </w:r>
      <w:proofErr w:type="spellEnd"/>
      <w:r w:rsidR="00AC55DE">
        <w:rPr>
          <w:rFonts w:ascii="Times New Roman" w:hAnsi="Times New Roman"/>
          <w:sz w:val="24"/>
          <w:szCs w:val="24"/>
        </w:rPr>
        <w:t xml:space="preserve"> И.В. - </w:t>
      </w:r>
      <w:r w:rsidR="00AC55DE" w:rsidRPr="00AC55DE">
        <w:rPr>
          <w:rFonts w:ascii="Times New Roman" w:hAnsi="Times New Roman"/>
          <w:sz w:val="24"/>
          <w:szCs w:val="24"/>
        </w:rPr>
        <w:t xml:space="preserve">№ 102 «г. Байкальск – п. Утулик», № 104 «г. Байкальск – п. </w:t>
      </w:r>
      <w:proofErr w:type="spellStart"/>
      <w:r w:rsidR="00AC55DE" w:rsidRPr="00AC55DE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="00AC55DE" w:rsidRPr="00AC55DE">
        <w:rPr>
          <w:rFonts w:ascii="Times New Roman" w:hAnsi="Times New Roman"/>
          <w:sz w:val="24"/>
          <w:szCs w:val="24"/>
        </w:rPr>
        <w:t>»</w:t>
      </w:r>
      <w:r w:rsidR="00AC55DE">
        <w:rPr>
          <w:rFonts w:ascii="Times New Roman" w:hAnsi="Times New Roman"/>
          <w:sz w:val="24"/>
          <w:szCs w:val="24"/>
        </w:rPr>
        <w:t>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Основные характеристики пригородных маршрутов на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перевозках 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  приведены в таблице №1.</w:t>
      </w:r>
    </w:p>
    <w:p w:rsidR="00A613A6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  <w:t>Таблица №1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5812"/>
        <w:gridCol w:w="1932"/>
        <w:gridCol w:w="1187"/>
      </w:tblGrid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7" w:type="dxa"/>
          </w:tcPr>
          <w:p w:rsidR="00A613A6" w:rsidRPr="006267AF" w:rsidRDefault="00A613A6" w:rsidP="00A87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87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630110</w:t>
            </w: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всего </w:t>
            </w: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A613A6" w:rsidRPr="003C5AFC" w:rsidRDefault="003C5AFC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39,418</w:t>
            </w: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Из них охвачено автобусной маршрутной сетью</w:t>
            </w: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A613A6" w:rsidRPr="00BB6858" w:rsidRDefault="00A87D11" w:rsidP="0044526C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8">
              <w:rPr>
                <w:rFonts w:ascii="Times New Roman" w:hAnsi="Times New Roman" w:cs="Times New Roman"/>
                <w:sz w:val="24"/>
                <w:szCs w:val="24"/>
              </w:rPr>
              <w:t>38,815</w:t>
            </w: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452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(пригородных)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маршрутов</w:t>
            </w: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613A6" w:rsidRPr="006267AF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3A6" w:rsidRPr="006267AF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613A6" w:rsidRPr="003C5AFC" w:rsidRDefault="00A87D11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Количество автобусных маршрутов, на которые не разработан паспорт маршрута</w:t>
            </w: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A613A6" w:rsidRPr="003C5AFC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A6" w:rsidRPr="003C5AFC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Протяженность автобусных маршрутов</w:t>
            </w:r>
          </w:p>
          <w:p w:rsidR="00A613A6" w:rsidRPr="006267AF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A613A6" w:rsidRPr="003C5AFC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D11" w:rsidRPr="003C5AFC">
              <w:rPr>
                <w:rFonts w:ascii="Times New Roman" w:hAnsi="Times New Roman" w:cs="Times New Roman"/>
                <w:sz w:val="24"/>
                <w:szCs w:val="24"/>
              </w:rPr>
              <w:t>04,6</w:t>
            </w:r>
          </w:p>
          <w:p w:rsidR="00A613A6" w:rsidRPr="003C5AFC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осуществляющих перевозки пассажиров </w:t>
            </w: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613A6" w:rsidRPr="006267AF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613A6" w:rsidRPr="003C5AFC" w:rsidRDefault="003C5AFC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13A6" w:rsidRPr="003C5AFC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A6" w:rsidTr="00A87D11">
        <w:tc>
          <w:tcPr>
            <w:tcW w:w="675" w:type="dxa"/>
          </w:tcPr>
          <w:p w:rsidR="00A613A6" w:rsidRDefault="00A613A6" w:rsidP="00445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613A6" w:rsidRPr="006267AF" w:rsidRDefault="00A613A6" w:rsidP="0044526C">
            <w:pPr>
              <w:pStyle w:val="a4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подвижного состава, используемого для перевозки пассажиров </w:t>
            </w:r>
          </w:p>
          <w:p w:rsidR="00A613A6" w:rsidRPr="006267AF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613A6" w:rsidRPr="006267AF" w:rsidRDefault="00A613A6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613A6" w:rsidRPr="006267AF" w:rsidRDefault="00A613A6" w:rsidP="0044526C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613A6" w:rsidRPr="003C5AFC" w:rsidRDefault="00A87D11" w:rsidP="00445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Основные термины, применяемые в данной Программе:</w:t>
      </w:r>
    </w:p>
    <w:p w:rsidR="00A613A6" w:rsidRPr="006267AF" w:rsidRDefault="003C5AFC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A613A6" w:rsidRPr="006267AF">
        <w:rPr>
          <w:rFonts w:ascii="Times New Roman" w:hAnsi="Times New Roman" w:cs="Times New Roman"/>
          <w:sz w:val="24"/>
          <w:szCs w:val="24"/>
        </w:rPr>
        <w:t xml:space="preserve"> перевозки – регулярные пассажирские перевозки пассажиров на пригородных маршрутах, между поселениями в границах муниципального образования </w:t>
      </w:r>
      <w:proofErr w:type="spellStart"/>
      <w:r w:rsidR="00A613A6"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613A6" w:rsidRPr="006267AF">
        <w:rPr>
          <w:rFonts w:ascii="Times New Roman" w:hAnsi="Times New Roman" w:cs="Times New Roman"/>
          <w:sz w:val="24"/>
          <w:szCs w:val="24"/>
        </w:rPr>
        <w:t xml:space="preserve"> район автомобильным транспортом общего пользования.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 регулярным </w:t>
      </w:r>
      <w:r w:rsidR="003C5AFC">
        <w:rPr>
          <w:rFonts w:ascii="Times New Roman" w:hAnsi="Times New Roman" w:cs="Times New Roman"/>
          <w:sz w:val="24"/>
          <w:szCs w:val="24"/>
        </w:rPr>
        <w:t>муниципальным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пассажирским перевозкам  относятся пассажирские перевозки, выполняемые ежедневно или в определенные дни недели по установленным графикам (расписаниям). 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Маршрутом является установленный путь следования автобуса (маршрутного микроавтобуса) между определенными пунктами.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Социально-значимые маршруты – пригородные маршруты по м</w:t>
      </w:r>
      <w:r w:rsidR="003C5AFC">
        <w:rPr>
          <w:rFonts w:ascii="Times New Roman" w:hAnsi="Times New Roman" w:cs="Times New Roman"/>
          <w:sz w:val="24"/>
          <w:szCs w:val="24"/>
        </w:rPr>
        <w:t>униципальны</w:t>
      </w:r>
      <w:r w:rsidRPr="006267AF">
        <w:rPr>
          <w:rFonts w:ascii="Times New Roman" w:hAnsi="Times New Roman" w:cs="Times New Roman"/>
          <w:sz w:val="24"/>
          <w:szCs w:val="24"/>
        </w:rPr>
        <w:t xml:space="preserve">м перевозкам пассажиров с нестабильным пассажиропотоком. 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Нестабильный пассажиропоток – пассажиропоток ограниченного объема, с явно выраженными колебаниями по часам суток, дням недели, не обеспечивающий безубыточную работу перевозчиков. </w:t>
      </w:r>
    </w:p>
    <w:p w:rsidR="00A613A6" w:rsidRPr="006267AF" w:rsidRDefault="003C5AFC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открытого конкурса в 2018</w:t>
      </w:r>
      <w:r w:rsidR="00A613A6" w:rsidRPr="006267A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</w:t>
      </w:r>
      <w:r w:rsidR="00A613A6" w:rsidRPr="006267AF">
        <w:rPr>
          <w:rFonts w:ascii="Times New Roman" w:hAnsi="Times New Roman" w:cs="Times New Roman"/>
          <w:sz w:val="24"/>
          <w:szCs w:val="24"/>
        </w:rPr>
        <w:t xml:space="preserve"> было заключено </w:t>
      </w:r>
      <w:r>
        <w:rPr>
          <w:rFonts w:ascii="Times New Roman" w:hAnsi="Times New Roman" w:cs="Times New Roman"/>
          <w:sz w:val="24"/>
          <w:szCs w:val="24"/>
        </w:rPr>
        <w:t>3 муниципальных контракта</w:t>
      </w:r>
      <w:r w:rsidR="00A613A6" w:rsidRPr="0062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Pr="00AE64A6">
        <w:rPr>
          <w:rFonts w:ascii="Times New Roman" w:hAnsi="Times New Roman"/>
          <w:sz w:val="24"/>
          <w:szCs w:val="24"/>
        </w:rPr>
        <w:t xml:space="preserve">ыполнение работ, связанных с осуществлением регулярных перевозок пассажиров и багажа автомобильным транспортом по регулируемым тарифам по </w:t>
      </w:r>
      <w:r>
        <w:rPr>
          <w:rFonts w:ascii="Times New Roman" w:hAnsi="Times New Roman"/>
          <w:sz w:val="24"/>
          <w:szCs w:val="24"/>
        </w:rPr>
        <w:t>пригородным</w:t>
      </w:r>
      <w:r w:rsidRPr="00AE64A6">
        <w:rPr>
          <w:rFonts w:ascii="Times New Roman" w:hAnsi="Times New Roman"/>
          <w:sz w:val="24"/>
          <w:szCs w:val="24"/>
        </w:rPr>
        <w:t xml:space="preserve"> маршрут</w:t>
      </w:r>
      <w:r>
        <w:rPr>
          <w:rFonts w:ascii="Times New Roman" w:hAnsi="Times New Roman"/>
          <w:sz w:val="24"/>
          <w:szCs w:val="24"/>
        </w:rPr>
        <w:t>ам</w:t>
      </w:r>
      <w:r w:rsidRPr="00AE64A6">
        <w:rPr>
          <w:rFonts w:ascii="Times New Roman" w:hAnsi="Times New Roman"/>
          <w:sz w:val="24"/>
          <w:szCs w:val="24"/>
        </w:rPr>
        <w:t xml:space="preserve"> регулярных перевозок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A613A6" w:rsidRPr="00626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7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районе действует </w:t>
      </w:r>
      <w:r w:rsidR="003C5AFC">
        <w:rPr>
          <w:rFonts w:ascii="Times New Roman" w:hAnsi="Times New Roman" w:cs="Times New Roman"/>
          <w:sz w:val="24"/>
          <w:szCs w:val="24"/>
        </w:rPr>
        <w:t>7</w:t>
      </w:r>
      <w:r w:rsidRPr="006267AF">
        <w:rPr>
          <w:rFonts w:ascii="Times New Roman" w:hAnsi="Times New Roman" w:cs="Times New Roman"/>
          <w:sz w:val="24"/>
          <w:szCs w:val="24"/>
        </w:rPr>
        <w:t xml:space="preserve"> </w:t>
      </w:r>
      <w:r w:rsidR="003C5A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267AF">
        <w:rPr>
          <w:rFonts w:ascii="Times New Roman" w:hAnsi="Times New Roman" w:cs="Times New Roman"/>
          <w:sz w:val="24"/>
          <w:szCs w:val="24"/>
        </w:rPr>
        <w:t>пригородных автобусных маршрутов</w:t>
      </w:r>
      <w:r w:rsidR="00B41F82">
        <w:rPr>
          <w:rFonts w:ascii="Times New Roman" w:hAnsi="Times New Roman" w:cs="Times New Roman"/>
          <w:sz w:val="24"/>
          <w:szCs w:val="24"/>
        </w:rPr>
        <w:t xml:space="preserve"> (из них – 6 пригородных муниципальных маршрутов и 1 сезонный муниципальный маршрут)</w:t>
      </w:r>
      <w:r w:rsidRPr="006267AF">
        <w:rPr>
          <w:rFonts w:ascii="Times New Roman" w:hAnsi="Times New Roman" w:cs="Times New Roman"/>
          <w:sz w:val="24"/>
          <w:szCs w:val="24"/>
        </w:rPr>
        <w:t xml:space="preserve">, на обслуживание которых заключены </w:t>
      </w:r>
      <w:r w:rsidR="003C5AFC">
        <w:rPr>
          <w:rFonts w:ascii="Times New Roman" w:hAnsi="Times New Roman" w:cs="Times New Roman"/>
          <w:sz w:val="24"/>
          <w:szCs w:val="24"/>
        </w:rPr>
        <w:t>3 муниципальных контракта с 4</w:t>
      </w:r>
      <w:r w:rsidRPr="006267AF">
        <w:rPr>
          <w:rFonts w:ascii="Times New Roman" w:hAnsi="Times New Roman" w:cs="Times New Roman"/>
          <w:sz w:val="24"/>
          <w:szCs w:val="24"/>
        </w:rPr>
        <w:t xml:space="preserve"> хозяйствующими субъектами малого</w:t>
      </w:r>
      <w:r w:rsidR="003C5AF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из них 2 маршрута признаны в соответствии с нормативными правовыми актами администрации муниципального района социально-значимыми маршрутами: маршрут </w:t>
      </w:r>
      <w:r w:rsidR="00E548EB" w:rsidRPr="00AC55DE">
        <w:rPr>
          <w:rFonts w:ascii="Times New Roman" w:hAnsi="Times New Roman"/>
          <w:sz w:val="24"/>
          <w:szCs w:val="24"/>
        </w:rPr>
        <w:t xml:space="preserve">№ 106 «г. </w:t>
      </w:r>
      <w:proofErr w:type="spellStart"/>
      <w:r w:rsidR="00E548EB"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E548EB" w:rsidRPr="00AC55DE">
        <w:rPr>
          <w:rFonts w:ascii="Times New Roman" w:hAnsi="Times New Roman"/>
          <w:sz w:val="24"/>
          <w:szCs w:val="24"/>
        </w:rPr>
        <w:t xml:space="preserve"> – ст. </w:t>
      </w:r>
      <w:proofErr w:type="spellStart"/>
      <w:r w:rsidR="00E548EB" w:rsidRPr="00AC55DE">
        <w:rPr>
          <w:rFonts w:ascii="Times New Roman" w:hAnsi="Times New Roman"/>
          <w:sz w:val="24"/>
          <w:szCs w:val="24"/>
        </w:rPr>
        <w:t>Ангасолка</w:t>
      </w:r>
      <w:proofErr w:type="spellEnd"/>
      <w:r w:rsidR="00E548EB" w:rsidRPr="00AC55DE">
        <w:rPr>
          <w:rFonts w:ascii="Times New Roman" w:hAnsi="Times New Roman"/>
          <w:sz w:val="24"/>
          <w:szCs w:val="24"/>
        </w:rPr>
        <w:t xml:space="preserve">», № 109 «г. </w:t>
      </w:r>
      <w:proofErr w:type="spellStart"/>
      <w:r w:rsidR="00E548EB"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proofErr w:type="gramEnd"/>
      <w:r w:rsidR="00E548EB" w:rsidRPr="00AC55DE">
        <w:rPr>
          <w:rFonts w:ascii="Times New Roman" w:hAnsi="Times New Roman"/>
          <w:sz w:val="24"/>
          <w:szCs w:val="24"/>
        </w:rPr>
        <w:t xml:space="preserve"> – с. Тибельти»</w:t>
      </w:r>
      <w:r w:rsidR="00E548EB">
        <w:rPr>
          <w:rFonts w:ascii="Times New Roman" w:hAnsi="Times New Roman"/>
          <w:sz w:val="24"/>
          <w:szCs w:val="24"/>
        </w:rPr>
        <w:t>.</w:t>
      </w:r>
      <w:r w:rsidR="003C5AFC">
        <w:rPr>
          <w:rFonts w:ascii="Times New Roman" w:hAnsi="Times New Roman" w:cs="Times New Roman"/>
          <w:sz w:val="24"/>
          <w:szCs w:val="24"/>
        </w:rPr>
        <w:t xml:space="preserve"> </w:t>
      </w:r>
      <w:r w:rsidR="00E548EB">
        <w:rPr>
          <w:rFonts w:ascii="Times New Roman" w:hAnsi="Times New Roman" w:cs="Times New Roman"/>
          <w:sz w:val="24"/>
          <w:szCs w:val="24"/>
        </w:rPr>
        <w:t xml:space="preserve">Субсидирование социально-значимых маршрутов осуществляется за счет средств бюджета муниципального образования </w:t>
      </w:r>
      <w:proofErr w:type="spellStart"/>
      <w:r w:rsidR="00E548E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548E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Не охвачены услугами пассажирского автомобильного транспорта жители п.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Андриановская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На </w:t>
      </w:r>
      <w:r w:rsidR="006F24C9">
        <w:rPr>
          <w:rFonts w:ascii="Times New Roman" w:hAnsi="Times New Roman" w:cs="Times New Roman"/>
          <w:sz w:val="24"/>
          <w:szCs w:val="24"/>
        </w:rPr>
        <w:t xml:space="preserve">муниципальных пригородных </w:t>
      </w:r>
      <w:r w:rsidRPr="006267AF">
        <w:rPr>
          <w:rFonts w:ascii="Times New Roman" w:hAnsi="Times New Roman" w:cs="Times New Roman"/>
          <w:sz w:val="24"/>
          <w:szCs w:val="24"/>
        </w:rPr>
        <w:t xml:space="preserve">маршрутах перевозчиками используется </w:t>
      </w:r>
      <w:r w:rsidR="006F24C9">
        <w:rPr>
          <w:rFonts w:ascii="Times New Roman" w:hAnsi="Times New Roman" w:cs="Times New Roman"/>
          <w:sz w:val="24"/>
          <w:szCs w:val="24"/>
        </w:rPr>
        <w:t>11</w:t>
      </w:r>
      <w:r w:rsidRPr="006267AF">
        <w:rPr>
          <w:rFonts w:ascii="Times New Roman" w:hAnsi="Times New Roman" w:cs="Times New Roman"/>
          <w:sz w:val="24"/>
          <w:szCs w:val="24"/>
        </w:rPr>
        <w:t xml:space="preserve"> единиц  подвижного состава, </w:t>
      </w:r>
      <w:r w:rsidR="006F24C9">
        <w:rPr>
          <w:rFonts w:ascii="Times New Roman" w:hAnsi="Times New Roman" w:cs="Times New Roman"/>
          <w:sz w:val="24"/>
          <w:szCs w:val="24"/>
        </w:rPr>
        <w:t>из них 7 транспортных средств среднего класса (</w:t>
      </w:r>
      <w:r w:rsidR="006F24C9"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6F24C9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="006F24C9" w:rsidRPr="006F24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F24C9" w:rsidRPr="006F24C9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6F24C9" w:rsidRPr="006F24C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6F24C9" w:rsidRPr="006F24C9">
        <w:rPr>
          <w:rFonts w:ascii="Times New Roman" w:hAnsi="Times New Roman" w:cs="Times New Roman"/>
          <w:sz w:val="24"/>
          <w:szCs w:val="24"/>
        </w:rPr>
        <w:t xml:space="preserve"> 7,5 метра до 10 метров включительно;</w:t>
      </w:r>
      <w:r w:rsidR="006F24C9">
        <w:rPr>
          <w:rFonts w:ascii="Times New Roman" w:hAnsi="Times New Roman" w:cs="Times New Roman"/>
          <w:sz w:val="24"/>
          <w:szCs w:val="24"/>
        </w:rPr>
        <w:t>) и 4 транспортных средства малого класса (</w:t>
      </w:r>
      <w:r w:rsidR="006F24C9"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6F24C9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6F24C9" w:rsidRPr="006F24C9">
        <w:rPr>
          <w:rFonts w:ascii="Times New Roman" w:hAnsi="Times New Roman" w:cs="Times New Roman"/>
          <w:sz w:val="24"/>
          <w:szCs w:val="24"/>
        </w:rPr>
        <w:t>от более чем 5 метров до 7,5 метра включительно</w:t>
      </w:r>
      <w:r w:rsidR="006F24C9">
        <w:rPr>
          <w:rFonts w:ascii="Times New Roman" w:hAnsi="Times New Roman" w:cs="Times New Roman"/>
          <w:sz w:val="24"/>
          <w:szCs w:val="24"/>
        </w:rPr>
        <w:t>)</w:t>
      </w:r>
      <w:r w:rsidRPr="006267AF">
        <w:rPr>
          <w:rFonts w:ascii="Times New Roman" w:hAnsi="Times New Roman" w:cs="Times New Roman"/>
          <w:sz w:val="24"/>
          <w:szCs w:val="24"/>
        </w:rPr>
        <w:t xml:space="preserve">.  </w:t>
      </w:r>
      <w:r w:rsidR="006F24C9">
        <w:rPr>
          <w:rFonts w:ascii="Times New Roman" w:hAnsi="Times New Roman" w:cs="Times New Roman"/>
          <w:sz w:val="24"/>
          <w:szCs w:val="24"/>
        </w:rPr>
        <w:t>В соответствии с требования муниципального контракта  экологический класс транспортных средств, используемых на муниципальных маршрутах должен быть не ниже Евро-3</w:t>
      </w:r>
      <w:r w:rsidRPr="006267AF">
        <w:rPr>
          <w:rFonts w:ascii="Times New Roman" w:hAnsi="Times New Roman" w:cs="Times New Roman"/>
          <w:sz w:val="24"/>
          <w:szCs w:val="24"/>
        </w:rPr>
        <w:t>.</w:t>
      </w:r>
      <w:r w:rsidR="00B70517" w:rsidRPr="00B70517">
        <w:rPr>
          <w:rFonts w:ascii="Times New Roman" w:hAnsi="Times New Roman" w:cs="Times New Roman"/>
          <w:sz w:val="24"/>
          <w:szCs w:val="24"/>
        </w:rPr>
        <w:t xml:space="preserve"> </w:t>
      </w:r>
      <w:r w:rsidR="00B70517">
        <w:rPr>
          <w:rFonts w:ascii="Times New Roman" w:hAnsi="Times New Roman" w:cs="Times New Roman"/>
          <w:sz w:val="24"/>
          <w:szCs w:val="24"/>
        </w:rPr>
        <w:t>В</w:t>
      </w:r>
      <w:r w:rsidR="00B70517" w:rsidRPr="006267AF">
        <w:rPr>
          <w:rFonts w:ascii="Times New Roman" w:hAnsi="Times New Roman" w:cs="Times New Roman"/>
          <w:sz w:val="24"/>
          <w:szCs w:val="24"/>
        </w:rPr>
        <w:t xml:space="preserve"> настоящее время важнейшее направление работы </w:t>
      </w:r>
      <w:r w:rsidR="00B7051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B70517" w:rsidRPr="006267AF">
        <w:rPr>
          <w:rFonts w:ascii="Times New Roman" w:hAnsi="Times New Roman" w:cs="Times New Roman"/>
          <w:sz w:val="24"/>
          <w:szCs w:val="24"/>
        </w:rPr>
        <w:t xml:space="preserve">- реализация  осуществления </w:t>
      </w:r>
      <w:r w:rsidR="00B70517" w:rsidRPr="006267AF">
        <w:rPr>
          <w:rFonts w:ascii="Times New Roman" w:hAnsi="Times New Roman" w:cs="Times New Roman"/>
          <w:sz w:val="24"/>
          <w:szCs w:val="24"/>
        </w:rPr>
        <w:lastRenderedPageBreak/>
        <w:t>административного и общественного контроля над перевозками пассажиров, повышение дисциплины перевозчиков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7AF">
        <w:rPr>
          <w:rFonts w:ascii="Times New Roman" w:hAnsi="Times New Roman" w:cs="Times New Roman"/>
          <w:sz w:val="24"/>
          <w:szCs w:val="24"/>
        </w:rPr>
        <w:t xml:space="preserve">С целью повышения качества и безопасности перевозок пассажиров, обновления парка транспортных средств, возмещения затрат в связи с реализацией мероприятий, направленных на поддержку субъектов малого и среднего предпринимательства, осуществляющих в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</w:t>
      </w:r>
      <w:r w:rsidR="007242F7">
        <w:rPr>
          <w:rFonts w:ascii="Times New Roman" w:hAnsi="Times New Roman" w:cs="Times New Roman"/>
          <w:sz w:val="24"/>
          <w:szCs w:val="24"/>
        </w:rPr>
        <w:t>янском</w:t>
      </w:r>
      <w:proofErr w:type="spellEnd"/>
      <w:r w:rsidR="007242F7">
        <w:rPr>
          <w:rFonts w:ascii="Times New Roman" w:hAnsi="Times New Roman" w:cs="Times New Roman"/>
          <w:sz w:val="24"/>
          <w:szCs w:val="24"/>
        </w:rPr>
        <w:t xml:space="preserve"> районе муниципальные пригородные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перевозки населения  </w:t>
      </w:r>
      <w:r w:rsidR="007242F7">
        <w:rPr>
          <w:rFonts w:ascii="Times New Roman" w:hAnsi="Times New Roman" w:cs="Times New Roman"/>
          <w:sz w:val="24"/>
          <w:szCs w:val="24"/>
        </w:rPr>
        <w:t>за период с 2014 года по 01 августа 2018 года было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7242F7">
        <w:rPr>
          <w:rFonts w:ascii="Times New Roman" w:hAnsi="Times New Roman" w:cs="Times New Roman"/>
          <w:sz w:val="24"/>
          <w:szCs w:val="24"/>
        </w:rPr>
        <w:t>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субсидий из районного бюджета  </w:t>
      </w:r>
      <w:r w:rsidR="007242F7">
        <w:rPr>
          <w:rFonts w:ascii="Times New Roman" w:hAnsi="Times New Roman" w:cs="Times New Roman"/>
          <w:sz w:val="24"/>
          <w:szCs w:val="24"/>
        </w:rPr>
        <w:t>7967538,75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AF">
        <w:rPr>
          <w:rFonts w:ascii="Times New Roman" w:hAnsi="Times New Roman" w:cs="Times New Roman"/>
          <w:sz w:val="24"/>
          <w:szCs w:val="24"/>
        </w:rPr>
        <w:t>руб., в том  числе</w:t>
      </w:r>
      <w:proofErr w:type="gramEnd"/>
    </w:p>
    <w:p w:rsidR="007242F7" w:rsidRDefault="00A613A6" w:rsidP="00B41F82">
      <w:pPr>
        <w:autoSpaceDE w:val="0"/>
        <w:autoSpaceDN w:val="0"/>
        <w:adjustRightInd w:val="0"/>
        <w:ind w:firstLine="540"/>
        <w:jc w:val="both"/>
      </w:pPr>
      <w:r w:rsidRPr="006267AF">
        <w:t xml:space="preserve">- на субсидирование части затрат на приобретение автобусов вместимостью более </w:t>
      </w:r>
      <w:r>
        <w:t>22</w:t>
      </w:r>
      <w:r w:rsidRPr="006267AF">
        <w:t xml:space="preserve"> мест –</w:t>
      </w:r>
      <w:r>
        <w:t xml:space="preserve">4947590,59 </w:t>
      </w:r>
      <w:r w:rsidRPr="006267AF">
        <w:t>руб.</w:t>
      </w:r>
      <w:r w:rsidR="007242F7">
        <w:t xml:space="preserve"> За период с 2015 года по 2018 год было приобретено в лизинг 3 автобуса среднего класса для осуществления перевозок населения по пригородным маршрутам</w:t>
      </w:r>
      <w:r w:rsidR="00B41F82">
        <w:t>.</w:t>
      </w:r>
      <w:r w:rsidR="00B41F82" w:rsidRPr="00B41F82">
        <w:rPr>
          <w:rFonts w:eastAsiaTheme="minorHAnsi"/>
          <w:lang w:eastAsia="en-US"/>
        </w:rPr>
        <w:t xml:space="preserve"> </w:t>
      </w:r>
      <w:r w:rsidR="00B41F82">
        <w:rPr>
          <w:rFonts w:eastAsiaTheme="minorHAnsi"/>
          <w:lang w:eastAsia="en-US"/>
        </w:rPr>
        <w:t xml:space="preserve">Приобретение новых автобусов дало возможность  обновить парк автобусов на маршруте № 103 «г. </w:t>
      </w:r>
      <w:proofErr w:type="spellStart"/>
      <w:r w:rsidR="00B41F82">
        <w:rPr>
          <w:rFonts w:eastAsiaTheme="minorHAnsi"/>
          <w:lang w:eastAsia="en-US"/>
        </w:rPr>
        <w:t>Слюдянка</w:t>
      </w:r>
      <w:proofErr w:type="spellEnd"/>
      <w:r w:rsidR="00B41F82">
        <w:rPr>
          <w:rFonts w:eastAsiaTheme="minorHAnsi"/>
          <w:lang w:eastAsia="en-US"/>
        </w:rPr>
        <w:t xml:space="preserve"> – г. Байкальск»</w:t>
      </w:r>
      <w:r w:rsidR="007242F7">
        <w:t>;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- на субсидирование социально-значимых пригородных маршрутов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перевозок пассажиров,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необспечивающих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безубыточную работу перевозчиков  </w:t>
      </w:r>
      <w:r w:rsidR="007242F7">
        <w:rPr>
          <w:rFonts w:ascii="Times New Roman" w:hAnsi="Times New Roman" w:cs="Times New Roman"/>
          <w:sz w:val="24"/>
          <w:szCs w:val="24"/>
        </w:rPr>
        <w:t>1509974,08 рублей</w:t>
      </w:r>
      <w:r w:rsidRPr="006267AF">
        <w:rPr>
          <w:rFonts w:ascii="Times New Roman" w:hAnsi="Times New Roman" w:cs="Times New Roman"/>
          <w:sz w:val="24"/>
          <w:szCs w:val="24"/>
        </w:rPr>
        <w:t>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Необходимость создания  программы обусловлена складывающейся обстановкой с транспортным обслуживанием населения в муниципальном образовании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район. Она определяет основные  направления:</w:t>
      </w:r>
    </w:p>
    <w:p w:rsidR="00A613A6" w:rsidRPr="006267AF" w:rsidRDefault="007242F7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13A6" w:rsidRPr="006267AF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перевозок пассажиров;</w:t>
      </w:r>
    </w:p>
    <w:p w:rsidR="00A613A6" w:rsidRPr="007242F7" w:rsidRDefault="007242F7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F7">
        <w:rPr>
          <w:rFonts w:ascii="Times New Roman" w:hAnsi="Times New Roman" w:cs="Times New Roman"/>
          <w:sz w:val="24"/>
          <w:szCs w:val="24"/>
        </w:rPr>
        <w:t>создание условий для удовлетворения потребностей населения муниципального района в перевозках пассажиров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3A6" w:rsidRPr="006267AF" w:rsidRDefault="00A613A6" w:rsidP="00A61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Программа отражает намерение органов местного самоуправления  осуществлять организацию транспортного обслуживания населения, способствовать гармоничному  и планомерному развитию отрасли и решению накопившихся проблем в транспортном обслуживании населения.</w:t>
      </w:r>
    </w:p>
    <w:p w:rsidR="008B14F3" w:rsidRDefault="00B41F82">
      <w:r>
        <w:t xml:space="preserve"> </w:t>
      </w:r>
    </w:p>
    <w:p w:rsidR="00B41F82" w:rsidRDefault="00B41F82" w:rsidP="00B41F82">
      <w:pPr>
        <w:jc w:val="center"/>
      </w:pPr>
      <w:r>
        <w:t>РАЗДЕЛ 2. ЦЕЛЬ И ЗАДАЧИ МУНИЦИПАЛЬНОЙ ПРОГРАММЫ, ЦЕЛЕВЫЕ ПОКАЗАТЕЛИ МУНИЦИПАЛЬНОЙ ПРОГРАММЫ, СРОКИ РЕАЛИЗАЦИИ</w:t>
      </w:r>
    </w:p>
    <w:p w:rsidR="008B14F3" w:rsidRDefault="008B14F3"/>
    <w:p w:rsidR="00B41F82" w:rsidRPr="006267AF" w:rsidRDefault="00B41F82" w:rsidP="00B41F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1F82">
        <w:rPr>
          <w:rFonts w:ascii="Times New Roman" w:hAnsi="Times New Roman" w:cs="Times New Roman"/>
          <w:sz w:val="24"/>
          <w:szCs w:val="24"/>
        </w:rPr>
        <w:t>овышение доступности транспортных услуг</w:t>
      </w:r>
      <w:r w:rsidR="00F108C9">
        <w:rPr>
          <w:rFonts w:ascii="Times New Roman" w:hAnsi="Times New Roman" w:cs="Times New Roman"/>
          <w:sz w:val="24"/>
          <w:szCs w:val="24"/>
        </w:rPr>
        <w:t>. Данная цель также повлечет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AF">
        <w:rPr>
          <w:rFonts w:ascii="Times New Roman" w:hAnsi="Times New Roman" w:cs="Times New Roman"/>
          <w:sz w:val="24"/>
          <w:szCs w:val="24"/>
        </w:rPr>
        <w:t xml:space="preserve">формирование эффективно функционирующего пассажирского транспортного комплекса,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перевозок. </w:t>
      </w:r>
    </w:p>
    <w:p w:rsidR="00B41F82" w:rsidRDefault="00B41F82" w:rsidP="00B41F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</w:t>
      </w:r>
      <w:r w:rsidR="00F108C9">
        <w:rPr>
          <w:rFonts w:ascii="Times New Roman" w:hAnsi="Times New Roman" w:cs="Times New Roman"/>
          <w:sz w:val="24"/>
          <w:szCs w:val="24"/>
        </w:rPr>
        <w:t>цели необходимо решение следующей</w:t>
      </w:r>
      <w:r w:rsidRPr="006267A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108C9">
        <w:rPr>
          <w:rFonts w:ascii="Times New Roman" w:hAnsi="Times New Roman" w:cs="Times New Roman"/>
          <w:sz w:val="24"/>
          <w:szCs w:val="24"/>
        </w:rPr>
        <w:t>и</w:t>
      </w:r>
      <w:r w:rsidRPr="006267AF">
        <w:rPr>
          <w:rFonts w:ascii="Times New Roman" w:hAnsi="Times New Roman" w:cs="Times New Roman"/>
          <w:sz w:val="24"/>
          <w:szCs w:val="24"/>
        </w:rPr>
        <w:t>:</w:t>
      </w:r>
    </w:p>
    <w:p w:rsidR="00B41F82" w:rsidRPr="003D222E" w:rsidRDefault="00B41F82" w:rsidP="00B41F82">
      <w:pPr>
        <w:pStyle w:val="a3"/>
        <w:widowControl w:val="0"/>
        <w:numPr>
          <w:ilvl w:val="0"/>
          <w:numId w:val="5"/>
        </w:numPr>
        <w:ind w:left="0" w:firstLine="567"/>
        <w:jc w:val="both"/>
      </w:pPr>
      <w:r w:rsidRPr="00B41F82">
        <w:t>Создание условий для удовлетворения потребностей населения муниципального</w:t>
      </w:r>
      <w:r w:rsidR="003D222E">
        <w:t xml:space="preserve"> района в перевозках пассажиров, п</w:t>
      </w:r>
      <w:r w:rsidRPr="003D222E">
        <w:t>овышение качества перевозок пассажиров.</w:t>
      </w:r>
    </w:p>
    <w:p w:rsidR="00B41F82" w:rsidRPr="006267AF" w:rsidRDefault="00B41F82" w:rsidP="00B41F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программы:</w:t>
      </w:r>
    </w:p>
    <w:p w:rsidR="00B41F82" w:rsidRPr="006267AF" w:rsidRDefault="00B41F82" w:rsidP="008048E1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AF">
        <w:rPr>
          <w:rFonts w:ascii="Times New Roman" w:hAnsi="Times New Roman" w:cs="Times New Roman"/>
          <w:color w:val="000000"/>
          <w:sz w:val="24"/>
          <w:szCs w:val="24"/>
        </w:rPr>
        <w:t>Количеств</w:t>
      </w:r>
      <w:r w:rsidR="008048E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267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048E1">
        <w:rPr>
          <w:rFonts w:ascii="Times New Roman" w:hAnsi="Times New Roman" w:cs="Times New Roman"/>
          <w:color w:val="000000"/>
          <w:sz w:val="24"/>
          <w:szCs w:val="24"/>
        </w:rPr>
        <w:t>оциально-значимых маршрутов</w:t>
      </w:r>
      <w:r w:rsidRPr="006267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1F82" w:rsidRPr="006267AF" w:rsidRDefault="00B41F82" w:rsidP="008048E1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Численность населения, охваченного автобусной сетью </w:t>
      </w:r>
      <w:r w:rsidR="008048E1">
        <w:rPr>
          <w:rFonts w:ascii="Times New Roman" w:hAnsi="Times New Roman" w:cs="Times New Roman"/>
          <w:sz w:val="24"/>
          <w:szCs w:val="24"/>
        </w:rPr>
        <w:t>муниципальных пригородных</w:t>
      </w:r>
      <w:r w:rsidRPr="006267AF">
        <w:rPr>
          <w:rFonts w:ascii="Times New Roman" w:hAnsi="Times New Roman" w:cs="Times New Roman"/>
          <w:sz w:val="24"/>
          <w:szCs w:val="24"/>
        </w:rPr>
        <w:t xml:space="preserve"> марш</w:t>
      </w:r>
      <w:r w:rsidR="003D222E">
        <w:rPr>
          <w:rFonts w:ascii="Times New Roman" w:hAnsi="Times New Roman" w:cs="Times New Roman"/>
          <w:sz w:val="24"/>
          <w:szCs w:val="24"/>
        </w:rPr>
        <w:t>рутов</w:t>
      </w:r>
    </w:p>
    <w:p w:rsidR="00B41F82" w:rsidRPr="00B70517" w:rsidRDefault="00B41F82" w:rsidP="00B41F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517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муниципальной программы представлены в приложении 1 к муниципальной программе. </w:t>
      </w:r>
    </w:p>
    <w:p w:rsidR="00B41F82" w:rsidRPr="006267AF" w:rsidRDefault="00B41F82" w:rsidP="00B41F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517">
        <w:rPr>
          <w:rFonts w:ascii="Times New Roman" w:hAnsi="Times New Roman" w:cs="Times New Roman"/>
          <w:sz w:val="24"/>
          <w:szCs w:val="24"/>
        </w:rPr>
        <w:t>Достижение поставленных целей и задач осуществляется посредством  проводимых мероприятий (приложение №2).</w:t>
      </w:r>
      <w:r w:rsidRPr="00626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82" w:rsidRPr="006267AF" w:rsidRDefault="00B41F82" w:rsidP="00B41F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Срок реализации</w:t>
      </w:r>
      <w:r w:rsidR="008048E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6267AF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ммы 201</w:t>
      </w:r>
      <w:r w:rsidR="008048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8048E1">
        <w:rPr>
          <w:rFonts w:ascii="Times New Roman" w:hAnsi="Times New Roman" w:cs="Times New Roman"/>
          <w:sz w:val="24"/>
          <w:szCs w:val="24"/>
        </w:rPr>
        <w:t>4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A1AC2" w:rsidRDefault="005A1AC2" w:rsidP="00BB7ADF">
      <w:pPr>
        <w:pStyle w:val="a4"/>
      </w:pPr>
    </w:p>
    <w:p w:rsidR="00BB7ADF" w:rsidRPr="006267AF" w:rsidRDefault="00BB7ADF" w:rsidP="00BB7AD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РАЗДЕЛ 3. АНАЛИЗ РИСКОВ РЕАЛИЗАЦИИ МУНИЦИПАЛЬНОЙ ПРОГРАММЫ И ОПИСАНИЕ МЕР УПРАВЛЕНИЯ РИСКАМИ РЕАЛИЗАЦИИ МУНИЦИПАЛЬНОЙ ПРОГРАММЫ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Внутренние риски.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1) Риск обеспечения финансирования муниципальной программы не в полном объеме (риск ликвидности),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2) Операционные риски реализации муниципальной программы: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риск возникновения сбоев при реализации муниципальной программы (операционный риск) возникает в результате низкой эффективности деятельности, в том числе ошибок исполнителей, совершенных правонарушений, неготовности региональной инфраструктуры (управленческой, информационной, финансовой и др.) к решению задач, поставленных муниципальной программой.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В рамках данного вида риска можно выделить следующие виды рисков: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риск исполнителей - вероятность возникновения проблем в реализации муниципальной программы в результате недостаточной квалификации ответственных исполнителей. Также к данному виду риска относится риск злоупотребления исполнителями своим служебным положением в рамках реализации муниципальной программы. Качественная оценка данного риска - риск средний;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риск несовершенства технологической инфраструктуры - неготовность инфраструктуры к решению поставленных перед ней задач может привести к задержкам в реализации муниципальной программы. Качественная оценка данного вида риска - риск средний. Снижение данного риска также можно обеспечить за счет активного привлечения к реализации муниципальной программы органов исполнительной власти Иркутской области, муниципальных образований и организаций.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Таким образом, операционный риск реализации муниципальной программы определяется как средний. Вес операционного риска не является критическим для реализации муниципальной программы.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Муниципальной программой предусмотрены мероприятия, направленные на снижение данного риска до низкого уровня. Операционный риск может повлиять на снижение темпов роста основных экономических показателей на 10 - 15 процентов в случае происходящих задержек с введением тех или иных важных для приоритетных отраслей муниципального района объектов.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3)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BB7ADF" w:rsidRPr="006267AF" w:rsidRDefault="00BB7ADF" w:rsidP="00BB7AD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Внешние риски.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7AF">
        <w:rPr>
          <w:rFonts w:ascii="Times New Roman" w:hAnsi="Times New Roman" w:cs="Times New Roman"/>
          <w:sz w:val="24"/>
          <w:szCs w:val="24"/>
        </w:rPr>
        <w:t xml:space="preserve">Настоящие риски влияют на адекватность прогнозов социально-экономического развития, снижают эффективность системы стратегического управления, ухудшают бюджетную обеспеченность Российской Федерации, Иркутской области  в целом  и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 в частности, что ставит под угрозу бюджетное финансирование отдельных мероприятий муниципальной программы и может существенно повлиять на сроки достижения целевых индикаторов и показателей </w:t>
      </w:r>
      <w:r w:rsidRPr="006267AF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объемы и сроки реализации мероприятий, обеспечивающих создание новых</w:t>
      </w:r>
      <w:proofErr w:type="gramEnd"/>
      <w:r w:rsidRPr="006267AF">
        <w:rPr>
          <w:rFonts w:ascii="Times New Roman" w:hAnsi="Times New Roman" w:cs="Times New Roman"/>
          <w:sz w:val="24"/>
          <w:szCs w:val="24"/>
        </w:rPr>
        <w:t xml:space="preserve"> точек экономического роста в регионе.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Данные риски могут привести к снижению объемов финансирования программных мероприятий из средств бюджетов бюджетной системы Российской Федерации. 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Минимизация влияния этой группы рисков возможна при следующих условиях: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принятие Правительством Российской Федерации обеспечительных мер по осуществлению </w:t>
      </w:r>
      <w:proofErr w:type="gramStart"/>
      <w:r w:rsidRPr="006267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67AF">
        <w:rPr>
          <w:rFonts w:ascii="Times New Roman" w:hAnsi="Times New Roman" w:cs="Times New Roman"/>
          <w:sz w:val="24"/>
          <w:szCs w:val="24"/>
        </w:rPr>
        <w:t xml:space="preserve"> деятельностью финансовых кредитных организаций и оперативное реагирование на негативные проявления в экономике;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формирование эффективного и быстро реагирующего на изменяющиеся условия антикризисного управления;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повышение степени обеспеченности ресурсами и инфраструктурой процессов инвестиционной и инновационной деятельности в регионе;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содействие развитию институтов, обеспечивающих привлечение инвестиций в экономику.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законам.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на основе: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проведения мониторинга угроз развития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район, выработки прогнозов, решений и рекомендаций в сфере управления социально-экономическим развитием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ADF" w:rsidRDefault="00BB7ADF" w:rsidP="00BB7AD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РАЗДЕЛ 4. РЕСУРСНОЕ ОБЕСПЕЧЕНИЕ МУНИЦИПАЛЬНОЙ ПРОГРАММЫ</w:t>
      </w:r>
    </w:p>
    <w:p w:rsidR="00BB6858" w:rsidRPr="006267AF" w:rsidRDefault="00BB6858" w:rsidP="00BB7AD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за счет бюдж</w:t>
      </w:r>
      <w:r>
        <w:rPr>
          <w:rFonts w:ascii="Times New Roman" w:hAnsi="Times New Roman" w:cs="Times New Roman"/>
          <w:sz w:val="24"/>
          <w:szCs w:val="24"/>
        </w:rPr>
        <w:t xml:space="preserve">етов всех уровней с 2019 по 2024 год составляет </w:t>
      </w:r>
      <w:r w:rsidR="00E33DB2">
        <w:rPr>
          <w:rFonts w:ascii="Times New Roman" w:hAnsi="Times New Roman" w:cs="Times New Roman"/>
          <w:sz w:val="24"/>
          <w:szCs w:val="24"/>
        </w:rPr>
        <w:t>1976000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6267AF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7AF">
        <w:rPr>
          <w:rFonts w:ascii="Times New Roman" w:hAnsi="Times New Roman" w:cs="Times New Roman"/>
          <w:sz w:val="24"/>
          <w:szCs w:val="24"/>
        </w:rPr>
        <w:t xml:space="preserve">1 год – </w:t>
      </w:r>
      <w:r>
        <w:rPr>
          <w:rFonts w:ascii="Times New Roman" w:hAnsi="Times New Roman" w:cs="Times New Roman"/>
          <w:sz w:val="24"/>
          <w:szCs w:val="24"/>
        </w:rPr>
        <w:t xml:space="preserve">494000,00 </w:t>
      </w:r>
      <w:r w:rsidRPr="006267AF">
        <w:rPr>
          <w:rFonts w:ascii="Times New Roman" w:hAnsi="Times New Roman" w:cs="Times New Roman"/>
          <w:sz w:val="24"/>
          <w:szCs w:val="24"/>
        </w:rPr>
        <w:t>рублей;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33DB2">
        <w:rPr>
          <w:rFonts w:ascii="Times New Roman" w:hAnsi="Times New Roman" w:cs="Times New Roman"/>
          <w:sz w:val="24"/>
          <w:szCs w:val="24"/>
        </w:rPr>
        <w:t>494000</w:t>
      </w:r>
      <w:r w:rsidR="009D7811">
        <w:rPr>
          <w:rFonts w:ascii="Times New Roman" w:hAnsi="Times New Roman" w:cs="Times New Roman"/>
          <w:sz w:val="24"/>
          <w:szCs w:val="24"/>
        </w:rPr>
        <w:t xml:space="preserve">,00 </w:t>
      </w:r>
      <w:r w:rsidRPr="006267AF">
        <w:rPr>
          <w:rFonts w:ascii="Times New Roman" w:hAnsi="Times New Roman" w:cs="Times New Roman"/>
          <w:sz w:val="24"/>
          <w:szCs w:val="24"/>
        </w:rPr>
        <w:t>рублей;</w:t>
      </w:r>
    </w:p>
    <w:p w:rsidR="00BB7AD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 w:rsidR="009D7811">
        <w:rPr>
          <w:rFonts w:ascii="Times New Roman" w:hAnsi="Times New Roman" w:cs="Times New Roman"/>
          <w:sz w:val="24"/>
          <w:szCs w:val="24"/>
        </w:rPr>
        <w:t>23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33DB2">
        <w:rPr>
          <w:rFonts w:ascii="Times New Roman" w:hAnsi="Times New Roman" w:cs="Times New Roman"/>
          <w:sz w:val="24"/>
          <w:szCs w:val="24"/>
        </w:rPr>
        <w:t>494000</w:t>
      </w:r>
      <w:r w:rsidR="009D781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AD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D781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33DB2">
        <w:rPr>
          <w:rFonts w:ascii="Times New Roman" w:hAnsi="Times New Roman" w:cs="Times New Roman"/>
          <w:sz w:val="24"/>
          <w:szCs w:val="24"/>
        </w:rPr>
        <w:t>494000</w:t>
      </w:r>
      <w:r>
        <w:rPr>
          <w:rFonts w:ascii="Times New Roman" w:hAnsi="Times New Roman" w:cs="Times New Roman"/>
          <w:sz w:val="24"/>
          <w:szCs w:val="24"/>
        </w:rPr>
        <w:t>,00 рублей;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Из них: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а) средс</w:t>
      </w:r>
      <w:r>
        <w:rPr>
          <w:rFonts w:ascii="Times New Roman" w:hAnsi="Times New Roman" w:cs="Times New Roman"/>
          <w:sz w:val="24"/>
          <w:szCs w:val="24"/>
        </w:rPr>
        <w:t xml:space="preserve">тва муниципального бюджета </w:t>
      </w:r>
      <w:r w:rsidR="00E33DB2">
        <w:rPr>
          <w:rFonts w:ascii="Times New Roman" w:hAnsi="Times New Roman" w:cs="Times New Roman"/>
          <w:sz w:val="24"/>
          <w:szCs w:val="24"/>
        </w:rPr>
        <w:t>1976000</w:t>
      </w:r>
      <w:r w:rsidR="009D781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AF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9D7811" w:rsidRPr="006267AF" w:rsidRDefault="009D7811" w:rsidP="009D78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D7811" w:rsidRPr="006267AF" w:rsidRDefault="009D7811" w:rsidP="009D78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D7811" w:rsidRPr="006267AF" w:rsidRDefault="009D7811" w:rsidP="009D78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7AF">
        <w:rPr>
          <w:rFonts w:ascii="Times New Roman" w:hAnsi="Times New Roman" w:cs="Times New Roman"/>
          <w:sz w:val="24"/>
          <w:szCs w:val="24"/>
        </w:rPr>
        <w:t xml:space="preserve">1 год – </w:t>
      </w:r>
      <w:r>
        <w:rPr>
          <w:rFonts w:ascii="Times New Roman" w:hAnsi="Times New Roman" w:cs="Times New Roman"/>
          <w:sz w:val="24"/>
          <w:szCs w:val="24"/>
        </w:rPr>
        <w:t xml:space="preserve">494000,00 </w:t>
      </w:r>
      <w:r w:rsidRPr="006267AF">
        <w:rPr>
          <w:rFonts w:ascii="Times New Roman" w:hAnsi="Times New Roman" w:cs="Times New Roman"/>
          <w:sz w:val="24"/>
          <w:szCs w:val="24"/>
        </w:rPr>
        <w:t>рублей;</w:t>
      </w:r>
    </w:p>
    <w:p w:rsidR="009D7811" w:rsidRPr="006267AF" w:rsidRDefault="009D7811" w:rsidP="009D78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33DB2">
        <w:rPr>
          <w:rFonts w:ascii="Times New Roman" w:hAnsi="Times New Roman" w:cs="Times New Roman"/>
          <w:sz w:val="24"/>
          <w:szCs w:val="24"/>
        </w:rPr>
        <w:t>494000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6267AF">
        <w:rPr>
          <w:rFonts w:ascii="Times New Roman" w:hAnsi="Times New Roman" w:cs="Times New Roman"/>
          <w:sz w:val="24"/>
          <w:szCs w:val="24"/>
        </w:rPr>
        <w:t>рублей;</w:t>
      </w:r>
    </w:p>
    <w:p w:rsidR="009D7811" w:rsidRDefault="009D7811" w:rsidP="009D78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267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33DB2">
        <w:rPr>
          <w:rFonts w:ascii="Times New Roman" w:hAnsi="Times New Roman" w:cs="Times New Roman"/>
          <w:sz w:val="24"/>
          <w:szCs w:val="24"/>
        </w:rPr>
        <w:t>494000</w:t>
      </w:r>
      <w:r>
        <w:rPr>
          <w:rFonts w:ascii="Times New Roman" w:hAnsi="Times New Roman" w:cs="Times New Roman"/>
          <w:sz w:val="24"/>
          <w:szCs w:val="24"/>
        </w:rPr>
        <w:t>,00 рублей;</w:t>
      </w:r>
    </w:p>
    <w:p w:rsidR="009D7811" w:rsidRDefault="009D7811" w:rsidP="009D78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E33DB2">
        <w:rPr>
          <w:rFonts w:ascii="Times New Roman" w:hAnsi="Times New Roman" w:cs="Times New Roman"/>
          <w:sz w:val="24"/>
          <w:szCs w:val="24"/>
        </w:rPr>
        <w:t>494000</w:t>
      </w:r>
      <w:r>
        <w:rPr>
          <w:rFonts w:ascii="Times New Roman" w:hAnsi="Times New Roman" w:cs="Times New Roman"/>
          <w:sz w:val="24"/>
          <w:szCs w:val="24"/>
        </w:rPr>
        <w:t>,00 рублей;</w:t>
      </w:r>
    </w:p>
    <w:p w:rsidR="009D7811" w:rsidRDefault="009D7811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муниципальной программы за счет средств  бюджета муниципального образования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район ежегодно уточняется в соответствии с законом о местном бюджете на соответствующий финансовый год и на плановый период.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Направление и объемы финансирования муниципальной программы представлены в приложениях </w:t>
      </w:r>
      <w:r w:rsidR="001E171A">
        <w:rPr>
          <w:rFonts w:ascii="Times New Roman" w:hAnsi="Times New Roman" w:cs="Times New Roman"/>
          <w:sz w:val="24"/>
          <w:szCs w:val="24"/>
        </w:rPr>
        <w:t>2, 3</w:t>
      </w:r>
      <w:r w:rsidRPr="006267AF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 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ADF" w:rsidRPr="006267AF" w:rsidRDefault="00BB7ADF" w:rsidP="00BB7AD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РАЗДЕЛ 5. ОЖИДАЕМЫЕ КОНЕЧНЫЕ РЕЗУЛЬТАТЫ РЕАЛИЗАЦИИ МУНИЦИПАЛЬНОЙ ПРОГРАММЫ</w:t>
      </w: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ADF" w:rsidRPr="006267AF" w:rsidRDefault="00BB7ADF" w:rsidP="00BB7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Основными ожидаемыми результатами муниципальной программы в качественном выражении должны стать:</w:t>
      </w:r>
    </w:p>
    <w:p w:rsidR="00BB7ADF" w:rsidRDefault="009D7811" w:rsidP="009D78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численности населения, охваченного автобусной сетью пригородных маршрутов </w:t>
      </w:r>
      <w:r w:rsidR="001E171A">
        <w:rPr>
          <w:rFonts w:ascii="Times New Roman" w:hAnsi="Times New Roman" w:cs="Times New Roman"/>
          <w:sz w:val="24"/>
          <w:szCs w:val="24"/>
        </w:rPr>
        <w:t>на уровне</w:t>
      </w:r>
      <w:r>
        <w:rPr>
          <w:rFonts w:ascii="Times New Roman" w:hAnsi="Times New Roman" w:cs="Times New Roman"/>
          <w:sz w:val="24"/>
          <w:szCs w:val="24"/>
        </w:rPr>
        <w:t xml:space="preserve"> 38,815 тыс. чел.</w:t>
      </w:r>
      <w:r w:rsidR="001E171A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реализации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11" w:rsidRPr="006267AF" w:rsidRDefault="009D7811" w:rsidP="009D78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и сохранение количества социально-значимых муниципальных (пригородных) маршрутов до 3.</w:t>
      </w:r>
    </w:p>
    <w:p w:rsidR="00BB7ADF" w:rsidRPr="00BB7ADF" w:rsidRDefault="00BB7ADF" w:rsidP="00BB7A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48E1" w:rsidRDefault="008048E1" w:rsidP="005A1AC2">
      <w:pPr>
        <w:widowControl w:val="0"/>
        <w:jc w:val="right"/>
        <w:outlineLvl w:val="1"/>
      </w:pPr>
    </w:p>
    <w:p w:rsidR="00BB6858" w:rsidRDefault="00BB6858" w:rsidP="00BB68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 – мэр, первый заместитель мэра</w:t>
      </w:r>
    </w:p>
    <w:p w:rsidR="00BB6858" w:rsidRDefault="00BB6858" w:rsidP="00BB68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6858" w:rsidRDefault="00BB6858" w:rsidP="00BB685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BB6858" w:rsidRPr="00BB6858" w:rsidRDefault="00BB6858" w:rsidP="00BB6858">
      <w:pPr>
        <w:pStyle w:val="a4"/>
        <w:rPr>
          <w:rFonts w:ascii="Times New Roman" w:hAnsi="Times New Roman" w:cs="Times New Roman"/>
          <w:sz w:val="24"/>
          <w:szCs w:val="24"/>
        </w:rPr>
        <w:sectPr w:rsidR="00BB6858" w:rsidRPr="00BB6858" w:rsidSect="005A1A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1AC2" w:rsidRPr="00BB4714" w:rsidRDefault="005A1AC2" w:rsidP="005A1AC2">
      <w:pPr>
        <w:widowControl w:val="0"/>
        <w:jc w:val="right"/>
        <w:outlineLvl w:val="1"/>
      </w:pPr>
      <w:r w:rsidRPr="00BB4714">
        <w:lastRenderedPageBreak/>
        <w:t xml:space="preserve">Приложение </w:t>
      </w:r>
      <w:r w:rsidRPr="00BB4714">
        <w:rPr>
          <w:lang w:val="en-US"/>
        </w:rPr>
        <w:t>N</w:t>
      </w:r>
      <w:r w:rsidRPr="00BB4714">
        <w:t>1</w:t>
      </w:r>
    </w:p>
    <w:p w:rsidR="005A1AC2" w:rsidRPr="00BB4714" w:rsidRDefault="005A1AC2" w:rsidP="005A1AC2">
      <w:pPr>
        <w:widowControl w:val="0"/>
        <w:autoSpaceDE w:val="0"/>
        <w:autoSpaceDN w:val="0"/>
        <w:adjustRightInd w:val="0"/>
        <w:jc w:val="right"/>
      </w:pPr>
      <w:r w:rsidRPr="00BB4714">
        <w:t>к муниципальной программ</w:t>
      </w:r>
      <w:r w:rsidR="007828FF">
        <w:t>е</w:t>
      </w:r>
      <w:r w:rsidRPr="00BB4714">
        <w:t xml:space="preserve"> </w:t>
      </w:r>
    </w:p>
    <w:p w:rsidR="005A1AC2" w:rsidRPr="00BB4714" w:rsidRDefault="005A1AC2" w:rsidP="005A1AC2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="00A6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составе и значениях показателей </w:t>
      </w:r>
    </w:p>
    <w:p w:rsidR="005A1AC2" w:rsidRPr="00BB4714" w:rsidRDefault="005A1AC2" w:rsidP="005A1AC2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5A1AC2" w:rsidRPr="00BB4714" w:rsidRDefault="005A1AC2" w:rsidP="005A1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AC2">
        <w:rPr>
          <w:rFonts w:ascii="Times New Roman" w:hAnsi="Times New Roman" w:cs="Times New Roman"/>
          <w:sz w:val="24"/>
          <w:szCs w:val="24"/>
        </w:rPr>
        <w:t xml:space="preserve">«Повышение транспортной доступности, обеспечение условий для реализации потребностей граждан муниципального образования </w:t>
      </w:r>
      <w:proofErr w:type="spellStart"/>
      <w:r w:rsidRPr="005A1AC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A1AC2">
        <w:rPr>
          <w:rFonts w:ascii="Times New Roman" w:hAnsi="Times New Roman" w:cs="Times New Roman"/>
          <w:sz w:val="24"/>
          <w:szCs w:val="24"/>
        </w:rPr>
        <w:t xml:space="preserve"> район в перевозках» на 2019-2024 годы </w:t>
      </w:r>
    </w:p>
    <w:p w:rsidR="005A1AC2" w:rsidRPr="001B5011" w:rsidRDefault="005A1AC2" w:rsidP="005A1AC2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663" w:type="dxa"/>
        <w:jc w:val="center"/>
        <w:tblLayout w:type="fixed"/>
        <w:tblLook w:val="00A0" w:firstRow="1" w:lastRow="0" w:firstColumn="1" w:lastColumn="0" w:noHBand="0" w:noVBand="0"/>
      </w:tblPr>
      <w:tblGrid>
        <w:gridCol w:w="672"/>
        <w:gridCol w:w="2506"/>
        <w:gridCol w:w="747"/>
        <w:gridCol w:w="1218"/>
        <w:gridCol w:w="1560"/>
        <w:gridCol w:w="1275"/>
        <w:gridCol w:w="1701"/>
        <w:gridCol w:w="1418"/>
        <w:gridCol w:w="1417"/>
        <w:gridCol w:w="1074"/>
        <w:gridCol w:w="1067"/>
        <w:gridCol w:w="8"/>
      </w:tblGrid>
      <w:tr w:rsidR="005A1AC2" w:rsidRPr="00BB4714" w:rsidTr="001E171A">
        <w:trPr>
          <w:gridAfter w:val="1"/>
          <w:wAfter w:w="8" w:type="dxa"/>
          <w:trHeight w:val="300"/>
          <w:tblHeader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AC2" w:rsidRPr="00BB4714" w:rsidRDefault="005A1AC2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471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471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AC2" w:rsidRPr="00BB4714" w:rsidRDefault="005A1AC2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AC2" w:rsidRPr="00BB4714" w:rsidRDefault="005A1AC2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C2" w:rsidRPr="00BB4714" w:rsidRDefault="005A1AC2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7828FF" w:rsidRPr="00BB4714" w:rsidTr="001E171A">
        <w:trPr>
          <w:gridAfter w:val="1"/>
          <w:wAfter w:w="8" w:type="dxa"/>
          <w:trHeight w:val="300"/>
          <w:tblHeader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8FF" w:rsidRDefault="007828FF" w:rsidP="0044526C">
            <w:pPr>
              <w:jc w:val="center"/>
              <w:rPr>
                <w:sz w:val="22"/>
                <w:szCs w:val="22"/>
              </w:rPr>
            </w:pPr>
          </w:p>
          <w:p w:rsidR="007828FF" w:rsidRPr="00A75BB8" w:rsidRDefault="007828FF" w:rsidP="0044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F" w:rsidRDefault="007828FF" w:rsidP="0044526C">
            <w:pPr>
              <w:jc w:val="center"/>
              <w:rPr>
                <w:sz w:val="22"/>
                <w:szCs w:val="22"/>
              </w:rPr>
            </w:pPr>
          </w:p>
          <w:p w:rsidR="007828FF" w:rsidRPr="00BB4714" w:rsidRDefault="007828FF" w:rsidP="0044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7828FF" w:rsidRPr="00BB4714" w:rsidTr="001E171A">
        <w:trPr>
          <w:gridAfter w:val="1"/>
          <w:wAfter w:w="8" w:type="dxa"/>
          <w:trHeight w:val="300"/>
          <w:tblHeader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8FF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F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A1AC2" w:rsidRPr="00BB4714" w:rsidTr="0044526C">
        <w:trPr>
          <w:gridAfter w:val="1"/>
          <w:wAfter w:w="8" w:type="dxa"/>
          <w:trHeight w:val="300"/>
          <w:jc w:val="center"/>
        </w:trPr>
        <w:tc>
          <w:tcPr>
            <w:tcW w:w="146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2" w:rsidRPr="00BB4714" w:rsidRDefault="005A1AC2" w:rsidP="00BB6858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 w:rsidRPr="00BB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BB6858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BB685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6858">
              <w:rPr>
                <w:rFonts w:ascii="Times New Roman" w:hAnsi="Times New Roman" w:cs="Times New Roman"/>
                <w:sz w:val="24"/>
                <w:szCs w:val="24"/>
              </w:rPr>
              <w:t xml:space="preserve"> район в перевозках» на 2019-2024 годы </w:t>
            </w:r>
          </w:p>
        </w:tc>
      </w:tr>
      <w:tr w:rsidR="007828FF" w:rsidRPr="00BB4714" w:rsidTr="001E171A">
        <w:trPr>
          <w:trHeight w:val="30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7828FF" w:rsidRDefault="007828FF" w:rsidP="007828FF">
            <w:pPr>
              <w:widowControl w:val="0"/>
              <w:ind w:left="-24" w:firstLine="24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7828FF">
              <w:rPr>
                <w:sz w:val="22"/>
                <w:szCs w:val="22"/>
                <w:lang w:eastAsia="en-US"/>
              </w:rPr>
              <w:t xml:space="preserve">Количество социально-значимых маршрутов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782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8FF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F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FF" w:rsidRPr="00BB4714" w:rsidRDefault="007828FF" w:rsidP="007828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828FF" w:rsidRPr="00BB4714" w:rsidTr="001E171A">
        <w:trPr>
          <w:trHeight w:val="30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BB47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7828FF" w:rsidRDefault="007828FF" w:rsidP="007828FF">
            <w:pPr>
              <w:rPr>
                <w:color w:val="000000"/>
                <w:sz w:val="22"/>
                <w:szCs w:val="22"/>
              </w:rPr>
            </w:pPr>
            <w:r w:rsidRPr="007828FF">
              <w:rPr>
                <w:sz w:val="22"/>
                <w:szCs w:val="22"/>
                <w:lang w:eastAsia="en-US"/>
              </w:rPr>
              <w:t xml:space="preserve">Численность населения, </w:t>
            </w:r>
            <w:proofErr w:type="gramStart"/>
            <w:r w:rsidRPr="007828FF">
              <w:rPr>
                <w:sz w:val="22"/>
                <w:szCs w:val="22"/>
                <w:lang w:eastAsia="en-US"/>
              </w:rPr>
              <w:t>охваченных</w:t>
            </w:r>
            <w:proofErr w:type="gramEnd"/>
            <w:r w:rsidRPr="007828F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28FF">
              <w:rPr>
                <w:sz w:val="22"/>
                <w:szCs w:val="22"/>
                <w:lang w:eastAsia="en-US"/>
              </w:rPr>
              <w:t>межпоселенческими</w:t>
            </w:r>
            <w:proofErr w:type="spellEnd"/>
            <w:r w:rsidRPr="007828FF">
              <w:rPr>
                <w:sz w:val="22"/>
                <w:szCs w:val="22"/>
                <w:lang w:eastAsia="en-US"/>
              </w:rPr>
              <w:t xml:space="preserve"> маршрутами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8FF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828FF" w:rsidRPr="007828FF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F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FF" w:rsidRPr="00BB4714" w:rsidRDefault="007828FF" w:rsidP="0044526C">
            <w:pPr>
              <w:jc w:val="center"/>
              <w:rPr>
                <w:color w:val="000000"/>
                <w:sz w:val="22"/>
                <w:szCs w:val="22"/>
              </w:rPr>
            </w:pPr>
            <w:r w:rsidRPr="007828FF">
              <w:rPr>
                <w:color w:val="000000"/>
                <w:sz w:val="22"/>
                <w:szCs w:val="22"/>
              </w:rPr>
              <w:t>38,815</w:t>
            </w:r>
          </w:p>
        </w:tc>
      </w:tr>
    </w:tbl>
    <w:p w:rsidR="008B14F3" w:rsidRDefault="008B14F3"/>
    <w:p w:rsidR="008B14F3" w:rsidRDefault="008B14F3"/>
    <w:p w:rsidR="008B14F3" w:rsidRDefault="001E171A">
      <w:r>
        <w:t xml:space="preserve">Начальник Управления социально-экономического развития                                                                                            О.В. </w:t>
      </w:r>
      <w:proofErr w:type="spellStart"/>
      <w:r>
        <w:t>Проворова</w:t>
      </w:r>
      <w:proofErr w:type="spellEnd"/>
    </w:p>
    <w:p w:rsidR="001E171A" w:rsidRDefault="001E171A">
      <w:r>
        <w:t xml:space="preserve">администрации муниципального образования </w:t>
      </w:r>
    </w:p>
    <w:p w:rsidR="001E171A" w:rsidRDefault="001E171A">
      <w:proofErr w:type="spellStart"/>
      <w:r>
        <w:t>Слюдянский</w:t>
      </w:r>
      <w:proofErr w:type="spellEnd"/>
      <w:r>
        <w:t xml:space="preserve"> район</w:t>
      </w:r>
    </w:p>
    <w:p w:rsidR="008B14F3" w:rsidRDefault="008B14F3"/>
    <w:p w:rsidR="008B14F3" w:rsidRDefault="008B14F3"/>
    <w:p w:rsidR="008B14F3" w:rsidRDefault="001E171A">
      <w:r>
        <w:t>Главный бухгалтер, начальник учета и расчетов Управления</w:t>
      </w:r>
    </w:p>
    <w:p w:rsidR="001E171A" w:rsidRDefault="001E171A">
      <w:r>
        <w:t>труда, заработной платы и муниципальной службы</w:t>
      </w:r>
    </w:p>
    <w:p w:rsidR="001E171A" w:rsidRDefault="001E171A">
      <w:r>
        <w:t xml:space="preserve">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Е.Д. </w:t>
      </w:r>
      <w:proofErr w:type="spellStart"/>
      <w:r>
        <w:t>Ерженина</w:t>
      </w:r>
      <w:proofErr w:type="spellEnd"/>
    </w:p>
    <w:p w:rsidR="008B14F3" w:rsidRDefault="008B14F3"/>
    <w:p w:rsidR="008B14F3" w:rsidRDefault="008B14F3"/>
    <w:p w:rsidR="008B14F3" w:rsidRDefault="008B14F3"/>
    <w:p w:rsidR="00BB6858" w:rsidRDefault="00BB6858" w:rsidP="00A613A6">
      <w:pPr>
        <w:spacing w:line="276" w:lineRule="auto"/>
        <w:jc w:val="right"/>
      </w:pPr>
    </w:p>
    <w:p w:rsidR="00F108C9" w:rsidRDefault="00F108C9" w:rsidP="00A613A6">
      <w:pPr>
        <w:spacing w:line="276" w:lineRule="auto"/>
        <w:jc w:val="right"/>
      </w:pPr>
    </w:p>
    <w:p w:rsidR="00F108C9" w:rsidRPr="00F108C9" w:rsidRDefault="00F108C9" w:rsidP="00F108C9">
      <w:pPr>
        <w:widowControl w:val="0"/>
        <w:jc w:val="right"/>
        <w:outlineLvl w:val="1"/>
      </w:pPr>
      <w:r w:rsidRPr="00BB4714">
        <w:lastRenderedPageBreak/>
        <w:t xml:space="preserve">Приложение </w:t>
      </w:r>
      <w:r w:rsidRPr="00BB4714">
        <w:rPr>
          <w:lang w:val="en-US"/>
        </w:rPr>
        <w:t>N</w:t>
      </w:r>
      <w:r>
        <w:t xml:space="preserve"> 2</w:t>
      </w:r>
    </w:p>
    <w:p w:rsidR="00F108C9" w:rsidRPr="00BB4714" w:rsidRDefault="00F108C9" w:rsidP="00F108C9">
      <w:pPr>
        <w:widowControl w:val="0"/>
        <w:autoSpaceDE w:val="0"/>
        <w:autoSpaceDN w:val="0"/>
        <w:adjustRightInd w:val="0"/>
        <w:jc w:val="right"/>
      </w:pPr>
      <w:r w:rsidRPr="00BB4714">
        <w:t>к муниципальной программ</w:t>
      </w:r>
      <w:r>
        <w:t>е</w:t>
      </w:r>
      <w:r w:rsidRPr="00BB4714">
        <w:t xml:space="preserve"> </w:t>
      </w:r>
    </w:p>
    <w:p w:rsidR="00F108C9" w:rsidRDefault="00F108C9" w:rsidP="00A613A6">
      <w:pPr>
        <w:tabs>
          <w:tab w:val="left" w:pos="10632"/>
        </w:tabs>
        <w:jc w:val="center"/>
        <w:rPr>
          <w:b/>
          <w:bCs/>
          <w:color w:val="000000"/>
        </w:rPr>
      </w:pPr>
    </w:p>
    <w:p w:rsidR="00A613A6" w:rsidRPr="00AA09F7" w:rsidRDefault="00A613A6" w:rsidP="00A613A6">
      <w:pPr>
        <w:tabs>
          <w:tab w:val="left" w:pos="10632"/>
        </w:tabs>
        <w:jc w:val="center"/>
        <w:rPr>
          <w:b/>
          <w:bCs/>
          <w:color w:val="000000"/>
        </w:rPr>
      </w:pPr>
      <w:r w:rsidRPr="00AA09F7">
        <w:rPr>
          <w:b/>
          <w:bCs/>
          <w:color w:val="000000"/>
        </w:rPr>
        <w:t xml:space="preserve">Ресурсное обеспечение реализации муниципальной программы за счет средств </w:t>
      </w:r>
      <w:r>
        <w:rPr>
          <w:b/>
          <w:bCs/>
          <w:color w:val="000000"/>
        </w:rPr>
        <w:t xml:space="preserve">местного </w:t>
      </w:r>
      <w:r w:rsidRPr="00AA09F7">
        <w:rPr>
          <w:b/>
          <w:bCs/>
          <w:color w:val="000000"/>
        </w:rPr>
        <w:t>бюджета</w:t>
      </w:r>
    </w:p>
    <w:p w:rsidR="00A613A6" w:rsidRPr="00AA09F7" w:rsidRDefault="009D7811" w:rsidP="00A61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транспортной доступности, обеспечение условий</w:t>
      </w:r>
      <w:r w:rsidR="00892A89">
        <w:rPr>
          <w:rFonts w:ascii="Times New Roman" w:hAnsi="Times New Roman" w:cs="Times New Roman"/>
          <w:sz w:val="24"/>
          <w:szCs w:val="24"/>
        </w:rPr>
        <w:t xml:space="preserve"> для реализации потребностей граждан муниципального образования </w:t>
      </w:r>
      <w:proofErr w:type="spellStart"/>
      <w:r w:rsidR="00892A8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92A89">
        <w:rPr>
          <w:rFonts w:ascii="Times New Roman" w:hAnsi="Times New Roman" w:cs="Times New Roman"/>
          <w:sz w:val="24"/>
          <w:szCs w:val="24"/>
        </w:rPr>
        <w:t xml:space="preserve"> район в перевозках» на 2019-2024 годы</w:t>
      </w:r>
    </w:p>
    <w:p w:rsidR="00892A89" w:rsidRPr="0057698D" w:rsidRDefault="00892A89" w:rsidP="00892A89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369"/>
        <w:gridCol w:w="2835"/>
        <w:gridCol w:w="1275"/>
        <w:gridCol w:w="1134"/>
        <w:gridCol w:w="1134"/>
        <w:gridCol w:w="1134"/>
        <w:gridCol w:w="1418"/>
        <w:gridCol w:w="1134"/>
        <w:gridCol w:w="1559"/>
      </w:tblGrid>
      <w:tr w:rsidR="00892A89" w:rsidRPr="0057698D" w:rsidTr="00F76794">
        <w:tc>
          <w:tcPr>
            <w:tcW w:w="3369" w:type="dxa"/>
            <w:vMerge w:val="restart"/>
          </w:tcPr>
          <w:p w:rsidR="00892A89" w:rsidRPr="0057698D" w:rsidRDefault="00892A89" w:rsidP="00171CF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 муниципальной программы,  основного мероприятия, мероприятия</w:t>
            </w:r>
          </w:p>
        </w:tc>
        <w:tc>
          <w:tcPr>
            <w:tcW w:w="2835" w:type="dxa"/>
            <w:vMerge w:val="restart"/>
          </w:tcPr>
          <w:p w:rsidR="00892A89" w:rsidRPr="0057698D" w:rsidRDefault="00892A89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исполнитель, соисполнители, участники, исполнители мероприятия</w:t>
            </w:r>
          </w:p>
        </w:tc>
        <w:tc>
          <w:tcPr>
            <w:tcW w:w="8788" w:type="dxa"/>
            <w:gridSpan w:val="7"/>
          </w:tcPr>
          <w:p w:rsidR="00892A89" w:rsidRPr="0057698D" w:rsidRDefault="00892A89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 (в руб.), годы</w:t>
            </w:r>
          </w:p>
        </w:tc>
      </w:tr>
      <w:tr w:rsidR="005F37D5" w:rsidRPr="0057698D" w:rsidTr="005F37D5">
        <w:tc>
          <w:tcPr>
            <w:tcW w:w="3369" w:type="dxa"/>
            <w:vMerge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F37D5" w:rsidRPr="0057698D" w:rsidRDefault="005F37D5" w:rsidP="005F37D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37D5" w:rsidRPr="0057698D" w:rsidRDefault="005F37D5" w:rsidP="005F37D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F37D5" w:rsidRPr="0057698D" w:rsidRDefault="005F37D5" w:rsidP="005F37D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5F37D5" w:rsidRPr="0057698D" w:rsidRDefault="005F37D5" w:rsidP="005F37D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5F37D5" w:rsidRPr="0057698D" w:rsidRDefault="005F37D5" w:rsidP="005F37D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F37D5" w:rsidRPr="0057698D" w:rsidRDefault="005F37D5" w:rsidP="005F37D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5F37D5" w:rsidRPr="0057698D" w:rsidTr="005F37D5">
        <w:tc>
          <w:tcPr>
            <w:tcW w:w="3369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F37D5" w:rsidRPr="0057698D" w:rsidRDefault="005F37D5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51798" w:rsidRPr="0057698D" w:rsidTr="005F37D5">
        <w:tc>
          <w:tcPr>
            <w:tcW w:w="3369" w:type="dxa"/>
            <w:vMerge w:val="restart"/>
          </w:tcPr>
          <w:p w:rsidR="00651798" w:rsidRPr="0057698D" w:rsidRDefault="00651798" w:rsidP="00892A8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 w:rsidRPr="0057698D">
              <w:rPr>
                <w:rFonts w:ascii="Times New Roman" w:hAnsi="Times New Roman" w:cs="Times New Roman"/>
                <w:sz w:val="16"/>
                <w:szCs w:val="16"/>
              </w:rPr>
              <w:t xml:space="preserve"> район в перевозках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 годы</w:t>
            </w: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418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559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1976000,00</w:t>
            </w:r>
          </w:p>
        </w:tc>
      </w:tr>
      <w:tr w:rsidR="00651798" w:rsidRPr="0057698D" w:rsidTr="005F37D5">
        <w:tc>
          <w:tcPr>
            <w:tcW w:w="3369" w:type="dxa"/>
            <w:vMerge/>
          </w:tcPr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51798" w:rsidRPr="0057698D" w:rsidRDefault="00651798" w:rsidP="00F76794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>Слюдянский</w:t>
            </w:r>
            <w:proofErr w:type="spellEnd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418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559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1976000,00</w:t>
            </w:r>
          </w:p>
        </w:tc>
      </w:tr>
      <w:tr w:rsidR="00651798" w:rsidRPr="0057698D" w:rsidTr="005F37D5">
        <w:tc>
          <w:tcPr>
            <w:tcW w:w="3369" w:type="dxa"/>
          </w:tcPr>
          <w:p w:rsidR="00651798" w:rsidRPr="0057698D" w:rsidRDefault="00651798" w:rsidP="006517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«Создание условий для удовлетворения потребностей населения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в перевозках пассажиров, повышение качества перевозок пассажиров</w:t>
            </w: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>Слюдянский</w:t>
            </w:r>
            <w:proofErr w:type="spellEnd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</w:tcPr>
          <w:p w:rsidR="00651798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418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559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1976000,00</w:t>
            </w:r>
          </w:p>
        </w:tc>
      </w:tr>
      <w:tr w:rsidR="00651798" w:rsidRPr="0057698D" w:rsidTr="005F37D5">
        <w:tc>
          <w:tcPr>
            <w:tcW w:w="3369" w:type="dxa"/>
          </w:tcPr>
          <w:p w:rsidR="00651798" w:rsidRPr="0057698D" w:rsidRDefault="00651798" w:rsidP="0020760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социально-значимых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(пригородных) </w:t>
            </w: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аршрутов </w:t>
            </w: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 xml:space="preserve">перевозок пассажиров, </w:t>
            </w:r>
            <w:proofErr w:type="spellStart"/>
            <w:r w:rsidRPr="0057698D">
              <w:rPr>
                <w:rFonts w:ascii="Times New Roman" w:hAnsi="Times New Roman" w:cs="Times New Roman"/>
                <w:sz w:val="16"/>
                <w:szCs w:val="16"/>
              </w:rPr>
              <w:t>необеспечивающих</w:t>
            </w:r>
            <w:proofErr w:type="spellEnd"/>
            <w:r w:rsidRPr="0057698D">
              <w:rPr>
                <w:rFonts w:ascii="Times New Roman" w:hAnsi="Times New Roman" w:cs="Times New Roman"/>
                <w:sz w:val="16"/>
                <w:szCs w:val="16"/>
              </w:rPr>
              <w:t xml:space="preserve"> безубыточную работу перевозчиков</w:t>
            </w:r>
          </w:p>
        </w:tc>
        <w:tc>
          <w:tcPr>
            <w:tcW w:w="2835" w:type="dxa"/>
          </w:tcPr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>Слюдянский</w:t>
            </w:r>
            <w:proofErr w:type="spellEnd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418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494000,00</w:t>
            </w:r>
          </w:p>
        </w:tc>
        <w:tc>
          <w:tcPr>
            <w:tcW w:w="1559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1976000,00</w:t>
            </w:r>
          </w:p>
        </w:tc>
      </w:tr>
      <w:tr w:rsidR="00651798" w:rsidRPr="0057698D" w:rsidTr="005F37D5">
        <w:tc>
          <w:tcPr>
            <w:tcW w:w="3369" w:type="dxa"/>
          </w:tcPr>
          <w:p w:rsidR="00651798" w:rsidRPr="0057698D" w:rsidRDefault="00651798" w:rsidP="00171CF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части затрат на 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 перевозки пассажиров и багажа</w:t>
            </w:r>
          </w:p>
        </w:tc>
        <w:tc>
          <w:tcPr>
            <w:tcW w:w="2835" w:type="dxa"/>
          </w:tcPr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>Слюдянский</w:t>
            </w:r>
            <w:proofErr w:type="spellEnd"/>
            <w:r w:rsidRPr="005769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1798" w:rsidRPr="0057698D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1798" w:rsidRPr="0057698D" w:rsidTr="005F37D5">
        <w:tc>
          <w:tcPr>
            <w:tcW w:w="3369" w:type="dxa"/>
          </w:tcPr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835" w:type="dxa"/>
          </w:tcPr>
          <w:p w:rsidR="00651798" w:rsidRPr="0057698D" w:rsidRDefault="00651798" w:rsidP="00F7679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651798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1798" w:rsidRPr="00651798" w:rsidRDefault="00651798" w:rsidP="00651798">
            <w:pPr>
              <w:pStyle w:val="a4"/>
              <w:tabs>
                <w:tab w:val="center" w:pos="45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79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494000,00</w:t>
            </w:r>
          </w:p>
        </w:tc>
        <w:tc>
          <w:tcPr>
            <w:tcW w:w="1134" w:type="dxa"/>
          </w:tcPr>
          <w:p w:rsidR="00651798" w:rsidRPr="00651798" w:rsidRDefault="00651798" w:rsidP="00F76794">
            <w:pPr>
              <w:pStyle w:val="a4"/>
              <w:tabs>
                <w:tab w:val="center" w:pos="45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79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494000,00</w:t>
            </w:r>
          </w:p>
        </w:tc>
        <w:tc>
          <w:tcPr>
            <w:tcW w:w="1418" w:type="dxa"/>
          </w:tcPr>
          <w:p w:rsidR="00651798" w:rsidRPr="00651798" w:rsidRDefault="00651798" w:rsidP="00F76794">
            <w:pPr>
              <w:pStyle w:val="a4"/>
              <w:tabs>
                <w:tab w:val="center" w:pos="45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79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494000,00</w:t>
            </w:r>
          </w:p>
        </w:tc>
        <w:tc>
          <w:tcPr>
            <w:tcW w:w="1134" w:type="dxa"/>
          </w:tcPr>
          <w:p w:rsidR="00651798" w:rsidRPr="00651798" w:rsidRDefault="00651798" w:rsidP="00F76794">
            <w:pPr>
              <w:pStyle w:val="a4"/>
              <w:tabs>
                <w:tab w:val="center" w:pos="45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79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494000,00</w:t>
            </w:r>
          </w:p>
        </w:tc>
        <w:tc>
          <w:tcPr>
            <w:tcW w:w="1559" w:type="dxa"/>
          </w:tcPr>
          <w:p w:rsidR="00651798" w:rsidRPr="00651798" w:rsidRDefault="00651798" w:rsidP="00F7679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798">
              <w:rPr>
                <w:rFonts w:ascii="Times New Roman" w:hAnsi="Times New Roman" w:cs="Times New Roman"/>
                <w:b/>
                <w:sz w:val="16"/>
                <w:szCs w:val="16"/>
              </w:rPr>
              <w:t>1976000,00</w:t>
            </w:r>
          </w:p>
        </w:tc>
      </w:tr>
    </w:tbl>
    <w:p w:rsidR="00892A89" w:rsidRDefault="00892A89" w:rsidP="00892A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798" w:rsidRDefault="00651798" w:rsidP="00651798"/>
    <w:p w:rsidR="00651798" w:rsidRDefault="00651798" w:rsidP="00651798">
      <w:r>
        <w:t xml:space="preserve">Начальник Управления социально-экономического развития                                                                                            О.В. </w:t>
      </w:r>
      <w:proofErr w:type="spellStart"/>
      <w:r>
        <w:t>Проворова</w:t>
      </w:r>
      <w:proofErr w:type="spellEnd"/>
    </w:p>
    <w:p w:rsidR="00651798" w:rsidRDefault="00651798" w:rsidP="00651798">
      <w:r>
        <w:t xml:space="preserve">администрации муниципального образования </w:t>
      </w:r>
    </w:p>
    <w:p w:rsidR="00651798" w:rsidRDefault="00651798" w:rsidP="00651798">
      <w:proofErr w:type="spellStart"/>
      <w:r>
        <w:t>Слюдянский</w:t>
      </w:r>
      <w:proofErr w:type="spellEnd"/>
      <w:r>
        <w:t xml:space="preserve"> район</w:t>
      </w:r>
    </w:p>
    <w:p w:rsidR="00651798" w:rsidRDefault="00651798" w:rsidP="00651798"/>
    <w:p w:rsidR="00651798" w:rsidRDefault="00651798" w:rsidP="00651798">
      <w:r>
        <w:t>Главный бухгалтер, начальник учета и расчетов Управления</w:t>
      </w:r>
    </w:p>
    <w:p w:rsidR="00651798" w:rsidRDefault="00651798" w:rsidP="00651798">
      <w:r>
        <w:t>труда, заработной платы и муниципальной службы</w:t>
      </w:r>
    </w:p>
    <w:p w:rsidR="00651798" w:rsidRDefault="00651798" w:rsidP="00651798">
      <w:r>
        <w:t xml:space="preserve">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Е.Д. </w:t>
      </w:r>
      <w:proofErr w:type="spellStart"/>
      <w:r>
        <w:t>Ерженина</w:t>
      </w:r>
      <w:proofErr w:type="spellEnd"/>
    </w:p>
    <w:p w:rsidR="00651798" w:rsidRDefault="00651798" w:rsidP="00651798"/>
    <w:p w:rsidR="00F108C9" w:rsidRPr="00F108C9" w:rsidRDefault="00F108C9" w:rsidP="00F108C9">
      <w:pPr>
        <w:widowControl w:val="0"/>
        <w:jc w:val="right"/>
        <w:outlineLvl w:val="1"/>
      </w:pPr>
      <w:r w:rsidRPr="00BB4714">
        <w:lastRenderedPageBreak/>
        <w:t xml:space="preserve">Приложение </w:t>
      </w:r>
      <w:r w:rsidRPr="00BB4714">
        <w:rPr>
          <w:lang w:val="en-US"/>
        </w:rPr>
        <w:t>N</w:t>
      </w:r>
      <w:r>
        <w:t>3</w:t>
      </w:r>
    </w:p>
    <w:p w:rsidR="00F108C9" w:rsidRPr="00BB4714" w:rsidRDefault="00F108C9" w:rsidP="00F108C9">
      <w:pPr>
        <w:widowControl w:val="0"/>
        <w:autoSpaceDE w:val="0"/>
        <w:autoSpaceDN w:val="0"/>
        <w:adjustRightInd w:val="0"/>
        <w:jc w:val="right"/>
      </w:pPr>
      <w:r w:rsidRPr="00BB4714">
        <w:t>к муниципальной программ</w:t>
      </w:r>
      <w:r>
        <w:t>е</w:t>
      </w:r>
      <w:r w:rsidRPr="00BB4714">
        <w:t xml:space="preserve"> </w:t>
      </w:r>
    </w:p>
    <w:p w:rsidR="00651798" w:rsidRDefault="00651798" w:rsidP="00651798"/>
    <w:p w:rsidR="00BB6858" w:rsidRDefault="00A613A6" w:rsidP="00A613A6">
      <w:pPr>
        <w:spacing w:line="276" w:lineRule="auto"/>
        <w:jc w:val="right"/>
      </w:pPr>
      <w:r w:rsidRPr="00AA09F7">
        <w:t xml:space="preserve">                                                                                                             </w:t>
      </w:r>
      <w:r>
        <w:t xml:space="preserve">                  </w:t>
      </w:r>
    </w:p>
    <w:p w:rsidR="00A613A6" w:rsidRPr="00AA09F7" w:rsidRDefault="00A613A6" w:rsidP="00A613A6">
      <w:pPr>
        <w:spacing w:line="276" w:lineRule="auto"/>
        <w:jc w:val="right"/>
        <w:rPr>
          <w:b/>
          <w:bCs/>
          <w:color w:val="000000"/>
        </w:rPr>
      </w:pPr>
      <w:r>
        <w:t xml:space="preserve"> </w:t>
      </w:r>
    </w:p>
    <w:p w:rsidR="00A613A6" w:rsidRPr="00AA09F7" w:rsidRDefault="00A613A6" w:rsidP="00A613A6">
      <w:pPr>
        <w:jc w:val="center"/>
        <w:rPr>
          <w:b/>
          <w:bCs/>
          <w:color w:val="000000"/>
        </w:rPr>
      </w:pPr>
      <w:r w:rsidRPr="00AA09F7">
        <w:rPr>
          <w:b/>
          <w:bCs/>
          <w:color w:val="000000"/>
        </w:rPr>
        <w:t>Прогнозная (справочная) оценка</w:t>
      </w:r>
    </w:p>
    <w:p w:rsidR="00A613A6" w:rsidRPr="00AA09F7" w:rsidRDefault="00A613A6" w:rsidP="00A613A6">
      <w:pPr>
        <w:jc w:val="center"/>
        <w:rPr>
          <w:b/>
          <w:bCs/>
          <w:color w:val="000000"/>
        </w:rPr>
      </w:pPr>
      <w:r w:rsidRPr="00AA09F7">
        <w:rPr>
          <w:b/>
          <w:bCs/>
          <w:color w:val="000000"/>
        </w:rPr>
        <w:t xml:space="preserve"> ресурсного обеспечения реализации муниципальной программы </w:t>
      </w:r>
    </w:p>
    <w:p w:rsidR="00A613A6" w:rsidRPr="00AA09F7" w:rsidRDefault="00A613A6" w:rsidP="00A613A6">
      <w:pPr>
        <w:jc w:val="center"/>
        <w:rPr>
          <w:b/>
          <w:bCs/>
          <w:color w:val="000000"/>
        </w:rPr>
      </w:pPr>
      <w:r w:rsidRPr="00AA09F7">
        <w:rPr>
          <w:b/>
          <w:bCs/>
          <w:color w:val="000000"/>
        </w:rPr>
        <w:t>за счет всех источников финансирования</w:t>
      </w:r>
    </w:p>
    <w:p w:rsidR="0020760F" w:rsidRDefault="0020760F" w:rsidP="00A613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«Повышение транспортной доступности, обеспечение условий для реализации потребностей граждан муниципального образования </w:t>
      </w:r>
      <w:proofErr w:type="spellStart"/>
      <w:r>
        <w:rPr>
          <w:b/>
          <w:bCs/>
          <w:color w:val="000000"/>
        </w:rPr>
        <w:t>Слюдянский</w:t>
      </w:r>
      <w:proofErr w:type="spellEnd"/>
      <w:r>
        <w:rPr>
          <w:b/>
          <w:bCs/>
          <w:color w:val="000000"/>
        </w:rPr>
        <w:t xml:space="preserve"> район в перевозках» на 2019-2024 годы </w:t>
      </w:r>
    </w:p>
    <w:p w:rsidR="0020760F" w:rsidRDefault="0020760F" w:rsidP="00A613A6">
      <w:pPr>
        <w:jc w:val="center"/>
        <w:rPr>
          <w:b/>
          <w:bCs/>
          <w:color w:val="000000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1701"/>
        <w:gridCol w:w="2410"/>
        <w:gridCol w:w="1134"/>
        <w:gridCol w:w="1134"/>
        <w:gridCol w:w="1134"/>
        <w:gridCol w:w="1187"/>
        <w:gridCol w:w="1276"/>
        <w:gridCol w:w="1418"/>
        <w:gridCol w:w="1612"/>
      </w:tblGrid>
      <w:tr w:rsidR="0020760F" w:rsidRPr="00CF39DA" w:rsidTr="00F76794">
        <w:trPr>
          <w:trHeight w:val="600"/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20760F" w:rsidRPr="00CF39DA" w:rsidRDefault="0020760F" w:rsidP="00171CF1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0760F" w:rsidRPr="00CF39DA" w:rsidRDefault="0020760F" w:rsidP="00F76794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760F" w:rsidRPr="00CF39DA" w:rsidRDefault="0020760F" w:rsidP="00F76794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8895" w:type="dxa"/>
            <w:gridSpan w:val="7"/>
            <w:shd w:val="clear" w:color="auto" w:fill="auto"/>
            <w:vAlign w:val="center"/>
          </w:tcPr>
          <w:p w:rsidR="0020760F" w:rsidRDefault="0020760F" w:rsidP="00F767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Оценка расходов</w:t>
            </w:r>
            <w:r>
              <w:rPr>
                <w:b/>
                <w:sz w:val="20"/>
                <w:szCs w:val="22"/>
              </w:rPr>
              <w:br/>
              <w:t xml:space="preserve">(в </w:t>
            </w:r>
            <w:r w:rsidRPr="00CF39DA">
              <w:rPr>
                <w:b/>
                <w:sz w:val="20"/>
                <w:szCs w:val="22"/>
              </w:rPr>
              <w:t>руб.), годы</w:t>
            </w:r>
          </w:p>
        </w:tc>
      </w:tr>
      <w:tr w:rsidR="00171CF1" w:rsidRPr="00CF39DA" w:rsidTr="00171CF1">
        <w:trPr>
          <w:trHeight w:val="789"/>
          <w:jc w:val="center"/>
        </w:trPr>
        <w:tc>
          <w:tcPr>
            <w:tcW w:w="2583" w:type="dxa"/>
            <w:vMerge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1418" w:type="dxa"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1612" w:type="dxa"/>
            <w:vAlign w:val="center"/>
          </w:tcPr>
          <w:p w:rsidR="00171CF1" w:rsidRPr="00CF39DA" w:rsidRDefault="00171CF1" w:rsidP="00F76794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всего</w:t>
            </w:r>
          </w:p>
        </w:tc>
      </w:tr>
      <w:tr w:rsidR="00171CF1" w:rsidRPr="00CF39DA" w:rsidTr="00171CF1">
        <w:trPr>
          <w:trHeight w:val="91"/>
          <w:jc w:val="center"/>
        </w:trPr>
        <w:tc>
          <w:tcPr>
            <w:tcW w:w="2583" w:type="dxa"/>
            <w:shd w:val="clear" w:color="auto" w:fill="auto"/>
            <w:noWrap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6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7</w:t>
            </w:r>
          </w:p>
        </w:tc>
        <w:tc>
          <w:tcPr>
            <w:tcW w:w="1276" w:type="dxa"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8</w:t>
            </w:r>
          </w:p>
        </w:tc>
        <w:tc>
          <w:tcPr>
            <w:tcW w:w="1418" w:type="dxa"/>
          </w:tcPr>
          <w:p w:rsidR="00171CF1" w:rsidRPr="00CF39DA" w:rsidRDefault="00B70517" w:rsidP="00F767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612" w:type="dxa"/>
          </w:tcPr>
          <w:p w:rsidR="00171CF1" w:rsidRPr="00CF39DA" w:rsidRDefault="00171CF1" w:rsidP="00F767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171CF1" w:rsidRPr="004028C3" w:rsidTr="00171CF1">
        <w:trPr>
          <w:trHeight w:val="158"/>
          <w:jc w:val="center"/>
        </w:trPr>
        <w:tc>
          <w:tcPr>
            <w:tcW w:w="2583" w:type="dxa"/>
            <w:vMerge w:val="restart"/>
            <w:shd w:val="clear" w:color="auto" w:fill="auto"/>
          </w:tcPr>
          <w:p w:rsidR="00171CF1" w:rsidRPr="004028C3" w:rsidRDefault="00171CF1" w:rsidP="00F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028C3">
              <w:rPr>
                <w:b/>
                <w:sz w:val="20"/>
                <w:szCs w:val="20"/>
                <w:lang w:eastAsia="en-US"/>
              </w:rPr>
              <w:t>«</w:t>
            </w:r>
            <w:r w:rsidRPr="004028C3">
              <w:rPr>
                <w:sz w:val="20"/>
                <w:szCs w:val="20"/>
                <w:lang w:eastAsia="en-US"/>
              </w:rPr>
              <w:t>Повышение транспортной доступности,</w:t>
            </w:r>
          </w:p>
          <w:p w:rsidR="00171CF1" w:rsidRPr="004028C3" w:rsidRDefault="00171CF1" w:rsidP="00F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028C3">
              <w:rPr>
                <w:sz w:val="20"/>
                <w:szCs w:val="20"/>
                <w:lang w:eastAsia="en-US"/>
              </w:rPr>
              <w:t>обеспечение условий для реализации</w:t>
            </w:r>
          </w:p>
          <w:p w:rsidR="00171CF1" w:rsidRPr="004028C3" w:rsidRDefault="00171CF1" w:rsidP="00F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028C3">
              <w:rPr>
                <w:sz w:val="20"/>
                <w:szCs w:val="20"/>
                <w:lang w:eastAsia="en-US"/>
              </w:rPr>
              <w:t xml:space="preserve">потребностей граждан </w:t>
            </w:r>
            <w:proofErr w:type="gramStart"/>
            <w:r w:rsidRPr="004028C3">
              <w:rPr>
                <w:sz w:val="20"/>
                <w:szCs w:val="20"/>
                <w:lang w:eastAsia="en-US"/>
              </w:rPr>
              <w:t>муниципального</w:t>
            </w:r>
            <w:proofErr w:type="gramEnd"/>
          </w:p>
          <w:p w:rsidR="00171CF1" w:rsidRPr="004028C3" w:rsidRDefault="00171CF1" w:rsidP="00F767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028C3">
              <w:rPr>
                <w:sz w:val="20"/>
                <w:szCs w:val="20"/>
                <w:lang w:eastAsia="en-US"/>
              </w:rPr>
              <w:t xml:space="preserve">образования </w:t>
            </w:r>
            <w:proofErr w:type="spellStart"/>
            <w:r w:rsidRPr="004028C3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4028C3">
              <w:rPr>
                <w:sz w:val="20"/>
                <w:szCs w:val="20"/>
                <w:lang w:eastAsia="en-US"/>
              </w:rPr>
              <w:t xml:space="preserve"> район в перевозках</w:t>
            </w:r>
            <w:r w:rsidRPr="004028C3">
              <w:rPr>
                <w:b/>
                <w:bCs/>
                <w:sz w:val="20"/>
                <w:szCs w:val="20"/>
              </w:rPr>
              <w:t>»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028C3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 xml:space="preserve">24 </w:t>
            </w:r>
            <w:r w:rsidRPr="004028C3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оды</w:t>
            </w:r>
            <w:r w:rsidRPr="004028C3">
              <w:rPr>
                <w:b/>
                <w:bCs/>
                <w:sz w:val="20"/>
                <w:szCs w:val="20"/>
              </w:rPr>
              <w:t>.</w:t>
            </w:r>
          </w:p>
          <w:p w:rsidR="00171CF1" w:rsidRPr="004028C3" w:rsidRDefault="00171CF1" w:rsidP="00F767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</w:p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</w:p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</w:p>
          <w:p w:rsidR="00171CF1" w:rsidRDefault="00171CF1" w:rsidP="00F7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социально-экономического развития,</w:t>
            </w:r>
          </w:p>
          <w:p w:rsidR="00171CF1" w:rsidRPr="004028C3" w:rsidRDefault="00171CF1" w:rsidP="006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276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418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612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1976000,00</w:t>
            </w:r>
          </w:p>
        </w:tc>
      </w:tr>
      <w:tr w:rsidR="00171CF1" w:rsidRPr="004028C3" w:rsidTr="00171CF1">
        <w:trPr>
          <w:trHeight w:val="220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областной бюджет (</w:t>
            </w:r>
            <w:proofErr w:type="gramStart"/>
            <w:r w:rsidRPr="004028C3">
              <w:rPr>
                <w:sz w:val="20"/>
                <w:szCs w:val="20"/>
              </w:rPr>
              <w:t>ОБ</w:t>
            </w:r>
            <w:proofErr w:type="gramEnd"/>
            <w:r w:rsidRPr="004028C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567AE2" w:rsidRDefault="00B70517" w:rsidP="00F7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567AE2" w:rsidRDefault="00171CF1" w:rsidP="00F76794">
            <w:pPr>
              <w:jc w:val="center"/>
              <w:rPr>
                <w:sz w:val="20"/>
                <w:szCs w:val="20"/>
              </w:rPr>
            </w:pPr>
            <w:r w:rsidRPr="00567AE2">
              <w:rPr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463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567AE2" w:rsidRDefault="00B70517" w:rsidP="00F7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567AE2" w:rsidRDefault="00171CF1" w:rsidP="00F76794">
            <w:pPr>
              <w:jc w:val="center"/>
              <w:rPr>
                <w:sz w:val="20"/>
                <w:szCs w:val="20"/>
              </w:rPr>
            </w:pPr>
            <w:r w:rsidRPr="00567AE2">
              <w:rPr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267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276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418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</w:t>
            </w:r>
          </w:p>
        </w:tc>
        <w:tc>
          <w:tcPr>
            <w:tcW w:w="1612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1976000,00</w:t>
            </w:r>
          </w:p>
        </w:tc>
      </w:tr>
      <w:tr w:rsidR="00171CF1" w:rsidRPr="004028C3" w:rsidTr="00651798">
        <w:trPr>
          <w:trHeight w:val="1062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567AE2" w:rsidRDefault="00171CF1" w:rsidP="00F7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567AE2" w:rsidRDefault="00171CF1" w:rsidP="00F76794">
            <w:pPr>
              <w:jc w:val="center"/>
              <w:rPr>
                <w:sz w:val="20"/>
                <w:szCs w:val="20"/>
              </w:rPr>
            </w:pPr>
            <w:r w:rsidRPr="00567AE2">
              <w:rPr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245"/>
          <w:jc w:val="center"/>
        </w:trPr>
        <w:tc>
          <w:tcPr>
            <w:tcW w:w="2583" w:type="dxa"/>
            <w:vMerge w:val="restart"/>
            <w:shd w:val="clear" w:color="auto" w:fill="auto"/>
          </w:tcPr>
          <w:p w:rsidR="00171CF1" w:rsidRPr="004028C3" w:rsidRDefault="00171CF1" w:rsidP="00F76794">
            <w:pPr>
              <w:jc w:val="both"/>
              <w:rPr>
                <w:sz w:val="20"/>
                <w:szCs w:val="20"/>
              </w:rPr>
            </w:pPr>
          </w:p>
          <w:p w:rsidR="00651798" w:rsidRDefault="00171CF1" w:rsidP="00171CF1">
            <w:pPr>
              <w:jc w:val="both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4028C3">
              <w:rPr>
                <w:sz w:val="20"/>
                <w:szCs w:val="20"/>
              </w:rPr>
              <w:t xml:space="preserve"> Основное мероприятие «Создание условий </w:t>
            </w:r>
            <w:proofErr w:type="gramStart"/>
            <w:r w:rsidRPr="004028C3">
              <w:rPr>
                <w:sz w:val="20"/>
                <w:szCs w:val="20"/>
              </w:rPr>
              <w:t>для</w:t>
            </w:r>
            <w:proofErr w:type="gramEnd"/>
          </w:p>
          <w:p w:rsidR="00171CF1" w:rsidRPr="004028C3" w:rsidRDefault="00171CF1" w:rsidP="00171CF1">
            <w:pPr>
              <w:jc w:val="both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 xml:space="preserve"> удовлетворения потребностей населения муниципального </w:t>
            </w:r>
            <w:r>
              <w:rPr>
                <w:sz w:val="20"/>
                <w:szCs w:val="20"/>
              </w:rPr>
              <w:t>района в перевозках пассажиров</w:t>
            </w:r>
            <w:r w:rsidR="00651798">
              <w:rPr>
                <w:sz w:val="20"/>
                <w:szCs w:val="20"/>
              </w:rPr>
              <w:t xml:space="preserve">, </w:t>
            </w:r>
            <w:r w:rsidR="00651798">
              <w:rPr>
                <w:sz w:val="20"/>
                <w:szCs w:val="20"/>
              </w:rPr>
              <w:lastRenderedPageBreak/>
              <w:t>повышение качества перевозок пассажиров</w:t>
            </w:r>
            <w:r w:rsidRPr="004028C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</w:tcPr>
          <w:p w:rsidR="00171CF1" w:rsidRPr="004028C3" w:rsidRDefault="00171CF1" w:rsidP="0017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социально-экономического развития </w:t>
            </w:r>
          </w:p>
          <w:p w:rsidR="00171CF1" w:rsidRPr="004028C3" w:rsidRDefault="00171CF1" w:rsidP="00171CF1">
            <w:pPr>
              <w:jc w:val="center"/>
              <w:rPr>
                <w:sz w:val="20"/>
                <w:szCs w:val="20"/>
              </w:rPr>
            </w:pPr>
          </w:p>
          <w:p w:rsidR="00171CF1" w:rsidRPr="004028C3" w:rsidRDefault="00171CF1" w:rsidP="00F7679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keepNext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276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418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612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1976000,00</w:t>
            </w:r>
          </w:p>
        </w:tc>
      </w:tr>
      <w:tr w:rsidR="00171CF1" w:rsidRPr="004028C3" w:rsidTr="00171CF1">
        <w:trPr>
          <w:trHeight w:val="245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keepNext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областной бюджет (</w:t>
            </w:r>
            <w:proofErr w:type="gramStart"/>
            <w:r w:rsidRPr="004028C3">
              <w:rPr>
                <w:sz w:val="20"/>
                <w:szCs w:val="20"/>
              </w:rPr>
              <w:t>ОБ</w:t>
            </w:r>
            <w:proofErr w:type="gramEnd"/>
            <w:r w:rsidRPr="004028C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71CF1" w:rsidRPr="00567AE2" w:rsidRDefault="00171CF1" w:rsidP="00F7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171CF1" w:rsidRPr="00567AE2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567AE2">
              <w:rPr>
                <w:b/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245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567AE2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567AE2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567AE2">
              <w:rPr>
                <w:b/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245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276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418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612" w:type="dxa"/>
          </w:tcPr>
          <w:p w:rsidR="00171CF1" w:rsidRPr="00567AE2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1976000,00</w:t>
            </w:r>
          </w:p>
        </w:tc>
      </w:tr>
      <w:tr w:rsidR="00171CF1" w:rsidRPr="004028C3" w:rsidTr="00171CF1">
        <w:trPr>
          <w:trHeight w:val="245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171CF1" w:rsidRPr="004028C3" w:rsidRDefault="00171CF1" w:rsidP="00F7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258"/>
          <w:jc w:val="center"/>
        </w:trPr>
        <w:tc>
          <w:tcPr>
            <w:tcW w:w="2583" w:type="dxa"/>
            <w:vMerge w:val="restart"/>
            <w:shd w:val="clear" w:color="auto" w:fill="auto"/>
          </w:tcPr>
          <w:p w:rsidR="00171CF1" w:rsidRPr="004028C3" w:rsidRDefault="00171CF1" w:rsidP="00171CF1">
            <w:pPr>
              <w:jc w:val="both"/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1CF1">
              <w:rPr>
                <w:sz w:val="20"/>
                <w:szCs w:val="20"/>
              </w:rPr>
              <w:t xml:space="preserve">1. Субсидирование социально-значимых муниципальных (пригородных) маршрутов перевозок пассажиров, </w:t>
            </w:r>
            <w:proofErr w:type="spellStart"/>
            <w:r w:rsidRPr="00171CF1">
              <w:rPr>
                <w:sz w:val="20"/>
                <w:szCs w:val="20"/>
              </w:rPr>
              <w:t>необеспечивающих</w:t>
            </w:r>
            <w:proofErr w:type="spellEnd"/>
            <w:r w:rsidRPr="00171CF1">
              <w:rPr>
                <w:sz w:val="20"/>
                <w:szCs w:val="20"/>
              </w:rPr>
              <w:t xml:space="preserve"> безубыточную работу перевозчиков</w:t>
            </w:r>
          </w:p>
        </w:tc>
        <w:tc>
          <w:tcPr>
            <w:tcW w:w="1701" w:type="dxa"/>
            <w:vMerge w:val="restart"/>
          </w:tcPr>
          <w:p w:rsidR="00171CF1" w:rsidRPr="004028C3" w:rsidRDefault="00171CF1" w:rsidP="0017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171CF1" w:rsidRPr="004028C3" w:rsidRDefault="00171CF1" w:rsidP="00171CF1">
            <w:pPr>
              <w:jc w:val="center"/>
              <w:rPr>
                <w:sz w:val="20"/>
                <w:szCs w:val="20"/>
              </w:rPr>
            </w:pPr>
          </w:p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276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418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612" w:type="dxa"/>
          </w:tcPr>
          <w:p w:rsidR="00171CF1" w:rsidRPr="00775888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1976000,00</w:t>
            </w:r>
          </w:p>
        </w:tc>
      </w:tr>
      <w:tr w:rsidR="00171CF1" w:rsidRPr="004028C3" w:rsidTr="00171CF1">
        <w:trPr>
          <w:trHeight w:val="214"/>
          <w:jc w:val="center"/>
        </w:trPr>
        <w:tc>
          <w:tcPr>
            <w:tcW w:w="2583" w:type="dxa"/>
            <w:vMerge/>
            <w:vAlign w:val="center"/>
          </w:tcPr>
          <w:p w:rsidR="00171CF1" w:rsidRPr="004028C3" w:rsidRDefault="00171CF1" w:rsidP="00F7679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областной бюджет (</w:t>
            </w:r>
            <w:proofErr w:type="gramStart"/>
            <w:r w:rsidRPr="004028C3">
              <w:rPr>
                <w:sz w:val="20"/>
                <w:szCs w:val="20"/>
              </w:rPr>
              <w:t>ОБ</w:t>
            </w:r>
            <w:proofErr w:type="gramEnd"/>
            <w:r w:rsidRPr="004028C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4028C3" w:rsidRDefault="00B70517" w:rsidP="00F7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395"/>
          <w:jc w:val="center"/>
        </w:trPr>
        <w:tc>
          <w:tcPr>
            <w:tcW w:w="2583" w:type="dxa"/>
            <w:vMerge/>
            <w:vAlign w:val="center"/>
          </w:tcPr>
          <w:p w:rsidR="00171CF1" w:rsidRPr="004028C3" w:rsidRDefault="00171CF1" w:rsidP="00F7679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4028C3" w:rsidRDefault="00B70517" w:rsidP="00F7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4028C3" w:rsidRDefault="00171CF1" w:rsidP="00F76794">
            <w:pPr>
              <w:jc w:val="center"/>
              <w:rPr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</w:tr>
      <w:tr w:rsidR="00171CF1" w:rsidRPr="004028C3" w:rsidTr="00171CF1">
        <w:trPr>
          <w:trHeight w:val="217"/>
          <w:jc w:val="center"/>
        </w:trPr>
        <w:tc>
          <w:tcPr>
            <w:tcW w:w="2583" w:type="dxa"/>
            <w:vMerge/>
            <w:vAlign w:val="center"/>
          </w:tcPr>
          <w:p w:rsidR="00171CF1" w:rsidRPr="004028C3" w:rsidRDefault="00171CF1" w:rsidP="00F7679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276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418" w:type="dxa"/>
          </w:tcPr>
          <w:p w:rsidR="00171CF1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612" w:type="dxa"/>
          </w:tcPr>
          <w:p w:rsidR="00171CF1" w:rsidRPr="00775888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1976000,00</w:t>
            </w:r>
          </w:p>
        </w:tc>
      </w:tr>
      <w:tr w:rsidR="00171CF1" w:rsidRPr="004028C3" w:rsidTr="00171CF1">
        <w:trPr>
          <w:trHeight w:val="232"/>
          <w:jc w:val="center"/>
        </w:trPr>
        <w:tc>
          <w:tcPr>
            <w:tcW w:w="2583" w:type="dxa"/>
            <w:vMerge/>
            <w:vAlign w:val="center"/>
          </w:tcPr>
          <w:p w:rsidR="00171CF1" w:rsidRPr="004028C3" w:rsidRDefault="00171CF1" w:rsidP="00F7679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71CF1" w:rsidRPr="004028C3" w:rsidRDefault="00171CF1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1CF1" w:rsidRPr="004028C3" w:rsidRDefault="00B70517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171CF1" w:rsidRPr="004028C3" w:rsidRDefault="00171CF1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</w:tr>
      <w:tr w:rsidR="00651798" w:rsidRPr="004028C3" w:rsidTr="00171CF1">
        <w:trPr>
          <w:trHeight w:val="143"/>
          <w:jc w:val="center"/>
        </w:trPr>
        <w:tc>
          <w:tcPr>
            <w:tcW w:w="2583" w:type="dxa"/>
            <w:vMerge w:val="restart"/>
            <w:shd w:val="clear" w:color="auto" w:fill="auto"/>
          </w:tcPr>
          <w:p w:rsidR="00651798" w:rsidRPr="00171CF1" w:rsidRDefault="00651798" w:rsidP="00651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4028C3">
              <w:rPr>
                <w:sz w:val="20"/>
                <w:szCs w:val="20"/>
              </w:rPr>
              <w:t xml:space="preserve"> </w:t>
            </w:r>
            <w:r w:rsidRPr="00171CF1">
              <w:rPr>
                <w:sz w:val="20"/>
                <w:szCs w:val="20"/>
              </w:rPr>
              <w:t xml:space="preserve">Субсидирование части затрат на приобретение транспортных средств </w:t>
            </w:r>
          </w:p>
        </w:tc>
        <w:tc>
          <w:tcPr>
            <w:tcW w:w="1701" w:type="dxa"/>
            <w:vMerge w:val="restart"/>
          </w:tcPr>
          <w:p w:rsidR="00651798" w:rsidRPr="004028C3" w:rsidRDefault="00651798" w:rsidP="0017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651798" w:rsidRPr="004028C3" w:rsidRDefault="00651798" w:rsidP="00171CF1">
            <w:pPr>
              <w:jc w:val="center"/>
              <w:rPr>
                <w:sz w:val="20"/>
                <w:szCs w:val="20"/>
              </w:rPr>
            </w:pPr>
          </w:p>
          <w:p w:rsidR="00651798" w:rsidRPr="004028C3" w:rsidRDefault="00651798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1798" w:rsidRPr="004028C3" w:rsidRDefault="00651798" w:rsidP="00F76794">
            <w:pPr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651798" w:rsidRPr="00775888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51798" w:rsidRPr="004028C3" w:rsidTr="00171CF1">
        <w:trPr>
          <w:trHeight w:val="143"/>
          <w:jc w:val="center"/>
        </w:trPr>
        <w:tc>
          <w:tcPr>
            <w:tcW w:w="2583" w:type="dxa"/>
            <w:vMerge/>
            <w:shd w:val="clear" w:color="auto" w:fill="auto"/>
          </w:tcPr>
          <w:p w:rsidR="00651798" w:rsidRPr="004028C3" w:rsidRDefault="00651798" w:rsidP="00F7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областной бюджет (</w:t>
            </w:r>
            <w:proofErr w:type="gramStart"/>
            <w:r w:rsidRPr="004028C3">
              <w:rPr>
                <w:sz w:val="20"/>
                <w:szCs w:val="20"/>
              </w:rPr>
              <w:t>ОБ</w:t>
            </w:r>
            <w:proofErr w:type="gramEnd"/>
            <w:r w:rsidRPr="004028C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51798" w:rsidRPr="004028C3" w:rsidTr="00171CF1">
        <w:trPr>
          <w:trHeight w:val="143"/>
          <w:jc w:val="center"/>
        </w:trPr>
        <w:tc>
          <w:tcPr>
            <w:tcW w:w="2583" w:type="dxa"/>
            <w:vMerge/>
            <w:shd w:val="clear" w:color="auto" w:fill="auto"/>
          </w:tcPr>
          <w:p w:rsidR="00651798" w:rsidRPr="004028C3" w:rsidRDefault="00651798" w:rsidP="00F7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51798" w:rsidRPr="004028C3" w:rsidTr="00171CF1">
        <w:trPr>
          <w:trHeight w:val="143"/>
          <w:jc w:val="center"/>
        </w:trPr>
        <w:tc>
          <w:tcPr>
            <w:tcW w:w="2583" w:type="dxa"/>
            <w:vMerge/>
            <w:shd w:val="clear" w:color="auto" w:fill="auto"/>
          </w:tcPr>
          <w:p w:rsidR="00651798" w:rsidRPr="004028C3" w:rsidRDefault="00651798" w:rsidP="00F7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1798" w:rsidRPr="004028C3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651798" w:rsidRPr="00775888" w:rsidRDefault="00261854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51798" w:rsidRPr="004028C3" w:rsidTr="00171CF1">
        <w:trPr>
          <w:trHeight w:val="143"/>
          <w:jc w:val="center"/>
        </w:trPr>
        <w:tc>
          <w:tcPr>
            <w:tcW w:w="2583" w:type="dxa"/>
            <w:vMerge/>
            <w:shd w:val="clear" w:color="auto" w:fill="auto"/>
          </w:tcPr>
          <w:p w:rsidR="00651798" w:rsidRPr="004028C3" w:rsidRDefault="00651798" w:rsidP="00F7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1798" w:rsidRPr="004028C3" w:rsidRDefault="00651798" w:rsidP="00F76794">
            <w:pPr>
              <w:rPr>
                <w:sz w:val="20"/>
                <w:szCs w:val="20"/>
              </w:rPr>
            </w:pPr>
            <w:r w:rsidRPr="004028C3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 w:rsidRPr="004028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651798" w:rsidRPr="004028C3" w:rsidRDefault="0065179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B6858" w:rsidRPr="004028C3" w:rsidTr="00171CF1">
        <w:trPr>
          <w:trHeight w:val="143"/>
          <w:jc w:val="center"/>
        </w:trPr>
        <w:tc>
          <w:tcPr>
            <w:tcW w:w="2583" w:type="dxa"/>
            <w:shd w:val="clear" w:color="auto" w:fill="auto"/>
          </w:tcPr>
          <w:p w:rsidR="00BB6858" w:rsidRPr="004028C3" w:rsidRDefault="00BB6858" w:rsidP="00171C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BB6858" w:rsidRPr="004028C3" w:rsidRDefault="00BB6858" w:rsidP="00F76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858" w:rsidRPr="004028C3" w:rsidRDefault="00BB6858" w:rsidP="00F767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B6858" w:rsidRPr="004028C3" w:rsidRDefault="00BB685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B6858" w:rsidRPr="004028C3" w:rsidRDefault="00BB685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B6858" w:rsidRPr="004028C3" w:rsidRDefault="00BB685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187" w:type="dxa"/>
            <w:shd w:val="clear" w:color="auto" w:fill="auto"/>
            <w:noWrap/>
          </w:tcPr>
          <w:p w:rsidR="00BB6858" w:rsidRPr="004028C3" w:rsidRDefault="00BB685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276" w:type="dxa"/>
          </w:tcPr>
          <w:p w:rsidR="00BB6858" w:rsidRPr="004028C3" w:rsidRDefault="00BB685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418" w:type="dxa"/>
          </w:tcPr>
          <w:p w:rsidR="00BB6858" w:rsidRPr="004028C3" w:rsidRDefault="00BB685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494000,00</w:t>
            </w:r>
          </w:p>
        </w:tc>
        <w:tc>
          <w:tcPr>
            <w:tcW w:w="1612" w:type="dxa"/>
          </w:tcPr>
          <w:p w:rsidR="00BB6858" w:rsidRPr="00775888" w:rsidRDefault="00BB6858" w:rsidP="00F76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1976000,00</w:t>
            </w:r>
          </w:p>
        </w:tc>
      </w:tr>
    </w:tbl>
    <w:p w:rsidR="00A613A6" w:rsidRDefault="0020760F" w:rsidP="00A613A6">
      <w:pPr>
        <w:jc w:val="center"/>
      </w:pPr>
      <w:r>
        <w:rPr>
          <w:b/>
          <w:bCs/>
          <w:color w:val="000000"/>
        </w:rPr>
        <w:t xml:space="preserve"> </w:t>
      </w:r>
      <w:r w:rsidR="00A613A6" w:rsidRPr="00AA09F7">
        <w:rPr>
          <w:b/>
          <w:bCs/>
          <w:color w:val="000000"/>
        </w:rPr>
        <w:t xml:space="preserve"> </w:t>
      </w:r>
      <w:r w:rsidR="00A613A6" w:rsidRPr="00AA09F7">
        <w:t xml:space="preserve"> </w:t>
      </w:r>
    </w:p>
    <w:p w:rsidR="0020760F" w:rsidRPr="006B1748" w:rsidRDefault="0020760F" w:rsidP="00A613A6">
      <w:pPr>
        <w:jc w:val="center"/>
        <w:rPr>
          <w:b/>
          <w:bCs/>
          <w:color w:val="000000"/>
          <w:sz w:val="14"/>
        </w:rPr>
      </w:pPr>
    </w:p>
    <w:p w:rsidR="00BB6858" w:rsidRDefault="00BB6858" w:rsidP="00BB6858">
      <w:r>
        <w:t xml:space="preserve">Начальник Управления социально-экономического развития                                                                                            О.В. </w:t>
      </w:r>
      <w:proofErr w:type="spellStart"/>
      <w:r>
        <w:t>Проворова</w:t>
      </w:r>
      <w:proofErr w:type="spellEnd"/>
    </w:p>
    <w:p w:rsidR="00BB6858" w:rsidRDefault="00BB6858" w:rsidP="00BB6858">
      <w:r>
        <w:t xml:space="preserve">администрации муниципального образования </w:t>
      </w:r>
    </w:p>
    <w:p w:rsidR="00BB6858" w:rsidRDefault="00BB6858" w:rsidP="00BB6858">
      <w:proofErr w:type="spellStart"/>
      <w:r>
        <w:t>Слюдянский</w:t>
      </w:r>
      <w:proofErr w:type="spellEnd"/>
      <w:r>
        <w:t xml:space="preserve"> район</w:t>
      </w:r>
    </w:p>
    <w:p w:rsidR="00BB6858" w:rsidRDefault="00BB6858" w:rsidP="00BB6858"/>
    <w:p w:rsidR="00BB6858" w:rsidRDefault="00BB6858" w:rsidP="00BB6858">
      <w:r>
        <w:t>Главный бухгалтер, начальник учета и расчетов Управления</w:t>
      </w:r>
      <w:bookmarkStart w:id="0" w:name="_GoBack"/>
      <w:bookmarkEnd w:id="0"/>
    </w:p>
    <w:p w:rsidR="00BB6858" w:rsidRDefault="00BB6858" w:rsidP="00BB6858">
      <w:r>
        <w:t>труда, заработной платы и муниципальной службы</w:t>
      </w:r>
    </w:p>
    <w:p w:rsidR="008B14F3" w:rsidRDefault="00BB6858" w:rsidP="00BB6858">
      <w:r>
        <w:t xml:space="preserve">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Е.Д. </w:t>
      </w:r>
      <w:proofErr w:type="spellStart"/>
      <w:r>
        <w:t>Ерженина</w:t>
      </w:r>
      <w:proofErr w:type="spellEnd"/>
    </w:p>
    <w:sectPr w:rsidR="008B14F3" w:rsidSect="005A1A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886"/>
    <w:multiLevelType w:val="hybridMultilevel"/>
    <w:tmpl w:val="DA884BA2"/>
    <w:lvl w:ilvl="0" w:tplc="658C48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C91972"/>
    <w:multiLevelType w:val="hybridMultilevel"/>
    <w:tmpl w:val="417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624"/>
    <w:multiLevelType w:val="hybridMultilevel"/>
    <w:tmpl w:val="A28A2C7E"/>
    <w:lvl w:ilvl="0" w:tplc="80AA79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4D6400E"/>
    <w:multiLevelType w:val="hybridMultilevel"/>
    <w:tmpl w:val="BEC89CE0"/>
    <w:lvl w:ilvl="0" w:tplc="0172D4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3023BA"/>
    <w:multiLevelType w:val="hybridMultilevel"/>
    <w:tmpl w:val="C8A4C94A"/>
    <w:lvl w:ilvl="0" w:tplc="C714E55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EC914D2"/>
    <w:multiLevelType w:val="hybridMultilevel"/>
    <w:tmpl w:val="47D6513E"/>
    <w:lvl w:ilvl="0" w:tplc="4BFEA9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A27A8"/>
    <w:multiLevelType w:val="hybridMultilevel"/>
    <w:tmpl w:val="417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8"/>
    <w:rsid w:val="00171CF1"/>
    <w:rsid w:val="001E171A"/>
    <w:rsid w:val="0020760F"/>
    <w:rsid w:val="00261854"/>
    <w:rsid w:val="00277D91"/>
    <w:rsid w:val="003B3AE9"/>
    <w:rsid w:val="003C5AFC"/>
    <w:rsid w:val="003D222E"/>
    <w:rsid w:val="0044526C"/>
    <w:rsid w:val="004918ED"/>
    <w:rsid w:val="004F27BC"/>
    <w:rsid w:val="005A1AC2"/>
    <w:rsid w:val="005F37D5"/>
    <w:rsid w:val="00651798"/>
    <w:rsid w:val="006F24C9"/>
    <w:rsid w:val="00702423"/>
    <w:rsid w:val="00706CCD"/>
    <w:rsid w:val="007242F7"/>
    <w:rsid w:val="007828FF"/>
    <w:rsid w:val="008048E1"/>
    <w:rsid w:val="00892A89"/>
    <w:rsid w:val="008B14F3"/>
    <w:rsid w:val="008C5373"/>
    <w:rsid w:val="009D7811"/>
    <w:rsid w:val="00A052BC"/>
    <w:rsid w:val="00A613A6"/>
    <w:rsid w:val="00A87D11"/>
    <w:rsid w:val="00AC55DE"/>
    <w:rsid w:val="00B41F82"/>
    <w:rsid w:val="00B70517"/>
    <w:rsid w:val="00BB6858"/>
    <w:rsid w:val="00BB7ADF"/>
    <w:rsid w:val="00DE6C79"/>
    <w:rsid w:val="00E27E55"/>
    <w:rsid w:val="00E33DB2"/>
    <w:rsid w:val="00E46DB3"/>
    <w:rsid w:val="00E47578"/>
    <w:rsid w:val="00E548EB"/>
    <w:rsid w:val="00E86B9E"/>
    <w:rsid w:val="00ED0C26"/>
    <w:rsid w:val="00F108C9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AE9"/>
    <w:pPr>
      <w:ind w:left="720"/>
      <w:contextualSpacing/>
    </w:pPr>
  </w:style>
  <w:style w:type="paragraph" w:styleId="a4">
    <w:name w:val="No Spacing"/>
    <w:uiPriority w:val="1"/>
    <w:qFormat/>
    <w:rsid w:val="00A613A6"/>
    <w:pPr>
      <w:spacing w:after="0" w:line="240" w:lineRule="auto"/>
    </w:pPr>
  </w:style>
  <w:style w:type="table" w:styleId="a5">
    <w:name w:val="Table Grid"/>
    <w:basedOn w:val="a1"/>
    <w:rsid w:val="00A6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AE9"/>
    <w:pPr>
      <w:ind w:left="720"/>
      <w:contextualSpacing/>
    </w:pPr>
  </w:style>
  <w:style w:type="paragraph" w:styleId="a4">
    <w:name w:val="No Spacing"/>
    <w:uiPriority w:val="1"/>
    <w:qFormat/>
    <w:rsid w:val="00A613A6"/>
    <w:pPr>
      <w:spacing w:after="0" w:line="240" w:lineRule="auto"/>
    </w:pPr>
  </w:style>
  <w:style w:type="table" w:styleId="a5">
    <w:name w:val="Table Grid"/>
    <w:basedOn w:val="a1"/>
    <w:rsid w:val="00A6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Лариса Генадьевна</dc:creator>
  <cp:keywords/>
  <dc:description/>
  <cp:lastModifiedBy>Пестова Лариса Генадьевна</cp:lastModifiedBy>
  <cp:revision>16</cp:revision>
  <cp:lastPrinted>2018-09-27T07:57:00Z</cp:lastPrinted>
  <dcterms:created xsi:type="dcterms:W3CDTF">2018-09-18T07:52:00Z</dcterms:created>
  <dcterms:modified xsi:type="dcterms:W3CDTF">2018-09-27T07:57:00Z</dcterms:modified>
</cp:coreProperties>
</file>